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E6FC" w14:textId="60FA815B" w:rsidR="009F02E0" w:rsidRPr="009F02E0" w:rsidRDefault="009F02E0" w:rsidP="009F02E0">
      <w:pPr>
        <w:spacing w:before="100" w:beforeAutospacing="1" w:after="100" w:afterAutospacing="1"/>
        <w:outlineLvl w:val="0"/>
        <w:rPr>
          <w:rFonts w:eastAsia="Times New Roman" w:cstheme="minorHAnsi"/>
          <w:b/>
          <w:bCs/>
          <w:kern w:val="36"/>
          <w:sz w:val="44"/>
          <w:szCs w:val="44"/>
          <w14:ligatures w14:val="none"/>
        </w:rPr>
      </w:pPr>
      <w:r>
        <w:rPr>
          <w:rFonts w:eastAsia="Times New Roman" w:cstheme="minorHAnsi"/>
          <w:b/>
          <w:bCs/>
          <w:kern w:val="36"/>
          <w:sz w:val="44"/>
          <w:szCs w:val="44"/>
          <w14:ligatures w14:val="none"/>
        </w:rPr>
        <w:t xml:space="preserve">Multistate Project NIMSS </w:t>
      </w:r>
      <w:r w:rsidRPr="009F02E0">
        <w:rPr>
          <w:rFonts w:eastAsia="Times New Roman" w:cstheme="minorHAnsi"/>
          <w:b/>
          <w:bCs/>
          <w:kern w:val="36"/>
          <w:sz w:val="44"/>
          <w:szCs w:val="44"/>
          <w14:ligatures w14:val="none"/>
        </w:rPr>
        <w:t>Annual Report Collection Template</w:t>
      </w:r>
    </w:p>
    <w:p w14:paraId="0D242CBD"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To:</w:t>
      </w:r>
      <w:r w:rsidRPr="009F02E0">
        <w:rPr>
          <w:rFonts w:eastAsia="Times New Roman" w:cstheme="minorHAnsi"/>
          <w:kern w:val="0"/>
          <w:sz w:val="22"/>
          <w:szCs w:val="22"/>
          <w14:ligatures w14:val="none"/>
        </w:rPr>
        <w:t xml:space="preserve"> All Project Members</w:t>
      </w:r>
    </w:p>
    <w:p w14:paraId="3FD5044F"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From:</w:t>
      </w:r>
      <w:r w:rsidRPr="009F02E0">
        <w:rPr>
          <w:rFonts w:eastAsia="Times New Roman" w:cstheme="minorHAnsi"/>
          <w:kern w:val="0"/>
          <w:sz w:val="22"/>
          <w:szCs w:val="22"/>
          <w14:ligatures w14:val="none"/>
        </w:rPr>
        <w:t xml:space="preserve"> [Project Lead Name]</w:t>
      </w:r>
    </w:p>
    <w:p w14:paraId="6A1326A2"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Due Date:</w:t>
      </w:r>
      <w:r w:rsidRPr="009F02E0">
        <w:rPr>
          <w:rFonts w:eastAsia="Times New Roman" w:cstheme="minorHAnsi"/>
          <w:kern w:val="0"/>
          <w:sz w:val="22"/>
          <w:szCs w:val="22"/>
          <w14:ligatures w14:val="none"/>
        </w:rPr>
        <w:t xml:space="preserve"> [Insert Date]</w:t>
      </w:r>
    </w:p>
    <w:p w14:paraId="7BBE102E" w14:textId="77777777" w:rsidR="009F02E0" w:rsidRPr="009F02E0" w:rsidRDefault="009F02E0" w:rsidP="009F02E0">
      <w:pPr>
        <w:spacing w:before="100" w:beforeAutospacing="1" w:after="100" w:afterAutospacing="1"/>
        <w:outlineLvl w:val="1"/>
        <w:rPr>
          <w:rFonts w:eastAsia="Times New Roman" w:cstheme="minorHAnsi"/>
          <w:b/>
          <w:bCs/>
          <w:kern w:val="0"/>
          <w:sz w:val="32"/>
          <w:szCs w:val="32"/>
          <w14:ligatures w14:val="none"/>
        </w:rPr>
      </w:pPr>
      <w:r w:rsidRPr="009F02E0">
        <w:rPr>
          <w:rFonts w:eastAsia="Times New Roman" w:cstheme="minorHAnsi"/>
          <w:b/>
          <w:bCs/>
          <w:kern w:val="0"/>
          <w:sz w:val="32"/>
          <w:szCs w:val="32"/>
          <w14:ligatures w14:val="none"/>
        </w:rPr>
        <w:t>1. Participant Details</w:t>
      </w:r>
    </w:p>
    <w:p w14:paraId="457FB42A"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i/>
          <w:iCs/>
          <w:kern w:val="0"/>
          <w:sz w:val="22"/>
          <w:szCs w:val="22"/>
          <w14:ligatures w14:val="none"/>
        </w:rPr>
        <w:t>Standard information for the NIMSS participant list.</w:t>
      </w:r>
    </w:p>
    <w:p w14:paraId="4F2F880C"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Name:</w:t>
      </w:r>
      <w:r w:rsidRPr="009F02E0">
        <w:rPr>
          <w:rFonts w:eastAsia="Times New Roman" w:cstheme="minorHAnsi"/>
          <w:kern w:val="0"/>
          <w:sz w:val="22"/>
          <w:szCs w:val="22"/>
          <w14:ligatures w14:val="none"/>
        </w:rPr>
        <w:t xml:space="preserve"> </w:t>
      </w:r>
      <w:r w:rsidRPr="009F02E0">
        <w:rPr>
          <w:rFonts w:eastAsia="Times New Roman" w:cstheme="minorHAnsi"/>
          <w:b/>
          <w:bCs/>
          <w:kern w:val="0"/>
          <w:sz w:val="22"/>
          <w:szCs w:val="22"/>
          <w14:ligatures w14:val="none"/>
        </w:rPr>
        <w:t>Institution/Station:</w:t>
      </w:r>
      <w:r w:rsidRPr="009F02E0">
        <w:rPr>
          <w:rFonts w:eastAsia="Times New Roman" w:cstheme="minorHAnsi"/>
          <w:kern w:val="0"/>
          <w:sz w:val="22"/>
          <w:szCs w:val="22"/>
          <w14:ligatures w14:val="none"/>
        </w:rPr>
        <w:t xml:space="preserve"> </w:t>
      </w:r>
      <w:r w:rsidRPr="009F02E0">
        <w:rPr>
          <w:rFonts w:eastAsia="Times New Roman" w:cstheme="minorHAnsi"/>
          <w:b/>
          <w:bCs/>
          <w:kern w:val="0"/>
          <w:sz w:val="22"/>
          <w:szCs w:val="22"/>
          <w14:ligatures w14:val="none"/>
        </w:rPr>
        <w:t>Department:</w:t>
      </w:r>
      <w:r w:rsidRPr="009F02E0">
        <w:rPr>
          <w:rFonts w:eastAsia="Times New Roman" w:cstheme="minorHAnsi"/>
          <w:kern w:val="0"/>
          <w:sz w:val="22"/>
          <w:szCs w:val="22"/>
          <w14:ligatures w14:val="none"/>
        </w:rPr>
        <w:t xml:space="preserve"> </w:t>
      </w:r>
      <w:r w:rsidRPr="009F02E0">
        <w:rPr>
          <w:rFonts w:eastAsia="Times New Roman" w:cstheme="minorHAnsi"/>
          <w:b/>
          <w:bCs/>
          <w:kern w:val="0"/>
          <w:sz w:val="22"/>
          <w:szCs w:val="22"/>
          <w14:ligatures w14:val="none"/>
        </w:rPr>
        <w:t>Email:</w:t>
      </w:r>
      <w:r w:rsidRPr="009F02E0">
        <w:rPr>
          <w:rFonts w:eastAsia="Times New Roman" w:cstheme="minorHAnsi"/>
          <w:kern w:val="0"/>
          <w:sz w:val="22"/>
          <w:szCs w:val="22"/>
          <w14:ligatures w14:val="none"/>
        </w:rPr>
        <w:t xml:space="preserve"> ---</w:t>
      </w:r>
    </w:p>
    <w:p w14:paraId="6D831790" w14:textId="77777777" w:rsidR="009F02E0" w:rsidRPr="009F02E0" w:rsidRDefault="009F02E0" w:rsidP="009F02E0">
      <w:pPr>
        <w:spacing w:before="100" w:beforeAutospacing="1" w:after="100" w:afterAutospacing="1"/>
        <w:outlineLvl w:val="1"/>
        <w:rPr>
          <w:rFonts w:eastAsia="Times New Roman" w:cstheme="minorHAnsi"/>
          <w:b/>
          <w:bCs/>
          <w:kern w:val="0"/>
          <w:sz w:val="32"/>
          <w:szCs w:val="32"/>
          <w14:ligatures w14:val="none"/>
        </w:rPr>
      </w:pPr>
      <w:r w:rsidRPr="009F02E0">
        <w:rPr>
          <w:rFonts w:eastAsia="Times New Roman" w:cstheme="minorHAnsi"/>
          <w:b/>
          <w:bCs/>
          <w:kern w:val="0"/>
          <w:sz w:val="32"/>
          <w:szCs w:val="32"/>
          <w14:ligatures w14:val="none"/>
        </w:rPr>
        <w:t>2. Collaborative Accomplishments</w:t>
      </w:r>
    </w:p>
    <w:p w14:paraId="592BDC08"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Tip for Members:</w:t>
      </w:r>
      <w:r w:rsidRPr="009F02E0">
        <w:rPr>
          <w:rFonts w:eastAsia="Times New Roman" w:cstheme="minorHAnsi"/>
          <w:kern w:val="0"/>
          <w:sz w:val="22"/>
          <w:szCs w:val="22"/>
          <w14:ligatures w14:val="none"/>
        </w:rPr>
        <w:t xml:space="preserve"> Focus on activities involving two or more states. Organize your input around the project’s specific objectives. Avoid simply listing "station updates"—we are looking for how our collective work moved the needle.</w:t>
      </w:r>
    </w:p>
    <w:p w14:paraId="02A50E54" w14:textId="77777777" w:rsidR="009F02E0" w:rsidRPr="009F02E0" w:rsidRDefault="009F02E0" w:rsidP="009F02E0">
      <w:pPr>
        <w:spacing w:before="100" w:beforeAutospacing="1" w:after="100" w:afterAutospacing="1"/>
        <w:outlineLvl w:val="2"/>
        <w:rPr>
          <w:rFonts w:eastAsia="Times New Roman" w:cstheme="minorHAnsi"/>
          <w:b/>
          <w:bCs/>
          <w:kern w:val="0"/>
          <w14:ligatures w14:val="none"/>
        </w:rPr>
      </w:pPr>
      <w:r w:rsidRPr="009F02E0">
        <w:rPr>
          <w:rFonts w:eastAsia="Times New Roman" w:cstheme="minorHAnsi"/>
          <w:b/>
          <w:bCs/>
          <w:kern w:val="0"/>
          <w14:ligatures w14:val="none"/>
        </w:rPr>
        <w:t>Activities &amp; Milestones</w:t>
      </w:r>
    </w:p>
    <w:p w14:paraId="112363D1"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i/>
          <w:iCs/>
          <w:kern w:val="0"/>
          <w:sz w:val="22"/>
          <w:szCs w:val="22"/>
          <w14:ligatures w14:val="none"/>
        </w:rPr>
        <w:t>Specific functions carried out or key intermediate targets achieved (e.g., "Validated the new genetic transformation procedure by Dec 2026").</w:t>
      </w:r>
    </w:p>
    <w:p w14:paraId="15B8FE5B" w14:textId="77777777" w:rsidR="009F02E0" w:rsidRPr="009F02E0" w:rsidRDefault="009F02E0" w:rsidP="009F02E0">
      <w:pPr>
        <w:numPr>
          <w:ilvl w:val="0"/>
          <w:numId w:val="7"/>
        </w:num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Response:</w:t>
      </w:r>
      <w:r w:rsidRPr="009F02E0">
        <w:rPr>
          <w:rFonts w:eastAsia="Times New Roman" w:cstheme="minorHAnsi"/>
          <w:kern w:val="0"/>
          <w:sz w:val="22"/>
          <w:szCs w:val="22"/>
          <w14:ligatures w14:val="none"/>
        </w:rPr>
        <w:t xml:space="preserve"> [Enter text here]</w:t>
      </w:r>
    </w:p>
    <w:p w14:paraId="7502A0BA" w14:textId="77777777" w:rsidR="009F02E0" w:rsidRPr="009F02E0" w:rsidRDefault="009F02E0" w:rsidP="009F02E0">
      <w:pPr>
        <w:spacing w:before="100" w:beforeAutospacing="1" w:after="100" w:afterAutospacing="1"/>
        <w:outlineLvl w:val="2"/>
        <w:rPr>
          <w:rFonts w:eastAsia="Times New Roman" w:cstheme="minorHAnsi"/>
          <w:b/>
          <w:bCs/>
          <w:kern w:val="0"/>
          <w14:ligatures w14:val="none"/>
        </w:rPr>
      </w:pPr>
      <w:proofErr w:type="gramStart"/>
      <w:r w:rsidRPr="009F02E0">
        <w:rPr>
          <w:rFonts w:eastAsia="Times New Roman" w:cstheme="minorHAnsi"/>
          <w:b/>
          <w:bCs/>
          <w:kern w:val="0"/>
          <w14:ligatures w14:val="none"/>
        </w:rPr>
        <w:t>Outputs</w:t>
      </w:r>
      <w:proofErr w:type="gramEnd"/>
    </w:p>
    <w:p w14:paraId="00DCFE34"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i/>
          <w:iCs/>
          <w:kern w:val="0"/>
          <w:sz w:val="22"/>
          <w:szCs w:val="22"/>
          <w14:ligatures w14:val="none"/>
        </w:rPr>
        <w:t>Tangible products delivered: reports, datasets, publications, or patents.</w:t>
      </w:r>
    </w:p>
    <w:p w14:paraId="3910C378" w14:textId="77777777" w:rsidR="009F02E0" w:rsidRPr="009F02E0" w:rsidRDefault="009F02E0" w:rsidP="009F02E0">
      <w:pPr>
        <w:numPr>
          <w:ilvl w:val="0"/>
          <w:numId w:val="8"/>
        </w:num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Response:</w:t>
      </w:r>
      <w:r w:rsidRPr="009F02E0">
        <w:rPr>
          <w:rFonts w:eastAsia="Times New Roman" w:cstheme="minorHAnsi"/>
          <w:kern w:val="0"/>
          <w:sz w:val="22"/>
          <w:szCs w:val="22"/>
          <w14:ligatures w14:val="none"/>
        </w:rPr>
        <w:t xml:space="preserve"> [Enter text here]</w:t>
      </w:r>
    </w:p>
    <w:p w14:paraId="53279D5F" w14:textId="77777777" w:rsidR="009F02E0" w:rsidRPr="009F02E0" w:rsidRDefault="009F02E0" w:rsidP="009F02E0">
      <w:pPr>
        <w:spacing w:before="100" w:beforeAutospacing="1" w:after="100" w:afterAutospacing="1"/>
        <w:outlineLvl w:val="2"/>
        <w:rPr>
          <w:rFonts w:eastAsia="Times New Roman" w:cstheme="minorHAnsi"/>
          <w:b/>
          <w:bCs/>
          <w:kern w:val="0"/>
          <w14:ligatures w14:val="none"/>
        </w:rPr>
      </w:pPr>
      <w:r w:rsidRPr="009F02E0">
        <w:rPr>
          <w:rFonts w:eastAsia="Times New Roman" w:cstheme="minorHAnsi"/>
          <w:b/>
          <w:bCs/>
          <w:kern w:val="0"/>
          <w14:ligatures w14:val="none"/>
        </w:rPr>
        <w:t>Short &amp; Medium-term Outcomes</w:t>
      </w:r>
    </w:p>
    <w:p w14:paraId="31CD3575"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i/>
          <w:iCs/>
          <w:kern w:val="0"/>
          <w:sz w:val="22"/>
          <w:szCs w:val="22"/>
          <w14:ligatures w14:val="none"/>
        </w:rPr>
        <w:t xml:space="preserve">Measurable benefits (e.g., gains in knowledge, adoption of </w:t>
      </w:r>
      <w:proofErr w:type="gramStart"/>
      <w:r w:rsidRPr="009F02E0">
        <w:rPr>
          <w:rFonts w:eastAsia="Times New Roman" w:cstheme="minorHAnsi"/>
          <w:i/>
          <w:iCs/>
          <w:kern w:val="0"/>
          <w:sz w:val="22"/>
          <w:szCs w:val="22"/>
          <w14:ligatures w14:val="none"/>
        </w:rPr>
        <w:t>a new</w:t>
      </w:r>
      <w:proofErr w:type="gramEnd"/>
      <w:r w:rsidRPr="009F02E0">
        <w:rPr>
          <w:rFonts w:eastAsia="Times New Roman" w:cstheme="minorHAnsi"/>
          <w:i/>
          <w:iCs/>
          <w:kern w:val="0"/>
          <w:sz w:val="22"/>
          <w:szCs w:val="22"/>
          <w14:ligatures w14:val="none"/>
        </w:rPr>
        <w:t xml:space="preserve"> technology, reduced costs for producers).</w:t>
      </w:r>
    </w:p>
    <w:p w14:paraId="28888B38" w14:textId="77777777" w:rsidR="009F02E0" w:rsidRPr="009F02E0" w:rsidRDefault="009F02E0" w:rsidP="009F02E0">
      <w:pPr>
        <w:numPr>
          <w:ilvl w:val="0"/>
          <w:numId w:val="9"/>
        </w:num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Response:</w:t>
      </w:r>
      <w:r w:rsidRPr="009F02E0">
        <w:rPr>
          <w:rFonts w:eastAsia="Times New Roman" w:cstheme="minorHAnsi"/>
          <w:kern w:val="0"/>
          <w:sz w:val="22"/>
          <w:szCs w:val="22"/>
          <w14:ligatures w14:val="none"/>
        </w:rPr>
        <w:t xml:space="preserve"> [Enter text here]</w:t>
      </w:r>
    </w:p>
    <w:p w14:paraId="1951A249" w14:textId="77777777" w:rsidR="009F02E0" w:rsidRPr="009F02E0" w:rsidRDefault="009F02E0" w:rsidP="009F02E0">
      <w:pPr>
        <w:spacing w:before="100" w:beforeAutospacing="1" w:after="100" w:afterAutospacing="1"/>
        <w:outlineLvl w:val="1"/>
        <w:rPr>
          <w:rFonts w:eastAsia="Times New Roman" w:cstheme="minorHAnsi"/>
          <w:b/>
          <w:bCs/>
          <w:kern w:val="0"/>
          <w:sz w:val="32"/>
          <w:szCs w:val="32"/>
          <w14:ligatures w14:val="none"/>
        </w:rPr>
      </w:pPr>
      <w:r w:rsidRPr="009F02E0">
        <w:rPr>
          <w:rFonts w:eastAsia="Times New Roman" w:cstheme="minorHAnsi"/>
          <w:b/>
          <w:bCs/>
          <w:kern w:val="0"/>
          <w:sz w:val="32"/>
          <w:szCs w:val="32"/>
          <w14:ligatures w14:val="none"/>
        </w:rPr>
        <w:t>3. Impacts (Long-term Benefits)</w:t>
      </w:r>
    </w:p>
    <w:p w14:paraId="6BCB942C"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Tip for Members:</w:t>
      </w:r>
      <w:r w:rsidRPr="009F02E0">
        <w:rPr>
          <w:rFonts w:eastAsia="Times New Roman" w:cstheme="minorHAnsi"/>
          <w:kern w:val="0"/>
          <w:sz w:val="22"/>
          <w:szCs w:val="22"/>
          <w14:ligatures w14:val="none"/>
        </w:rPr>
        <w:t xml:space="preserve"> Impacts describe the difference the project has made to the broader public. Focus on changes in knowledge, </w:t>
      </w:r>
      <w:proofErr w:type="gramStart"/>
      <w:r w:rsidRPr="009F02E0">
        <w:rPr>
          <w:rFonts w:eastAsia="Times New Roman" w:cstheme="minorHAnsi"/>
          <w:kern w:val="0"/>
          <w:sz w:val="22"/>
          <w:szCs w:val="22"/>
          <w14:ligatures w14:val="none"/>
        </w:rPr>
        <w:t>behavior, or</w:t>
      </w:r>
      <w:proofErr w:type="gramEnd"/>
      <w:r w:rsidRPr="009F02E0">
        <w:rPr>
          <w:rFonts w:eastAsia="Times New Roman" w:cstheme="minorHAnsi"/>
          <w:kern w:val="0"/>
          <w:sz w:val="22"/>
          <w:szCs w:val="22"/>
          <w14:ligatures w14:val="none"/>
        </w:rPr>
        <w:t xml:space="preserve"> economic/environmental conditions.</w:t>
      </w:r>
    </w:p>
    <w:p w14:paraId="7C004B06"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i/>
          <w:iCs/>
          <w:kern w:val="0"/>
          <w:sz w:val="22"/>
          <w:szCs w:val="22"/>
          <w14:ligatures w14:val="none"/>
        </w:rPr>
        <w:t xml:space="preserve">Please provide a narrative or </w:t>
      </w:r>
      <w:proofErr w:type="gramStart"/>
      <w:r w:rsidRPr="009F02E0">
        <w:rPr>
          <w:rFonts w:eastAsia="Times New Roman" w:cstheme="minorHAnsi"/>
          <w:i/>
          <w:iCs/>
          <w:kern w:val="0"/>
          <w:sz w:val="22"/>
          <w:szCs w:val="22"/>
          <w14:ligatures w14:val="none"/>
        </w:rPr>
        <w:t>bulleted</w:t>
      </w:r>
      <w:proofErr w:type="gramEnd"/>
      <w:r w:rsidRPr="009F02E0">
        <w:rPr>
          <w:rFonts w:eastAsia="Times New Roman" w:cstheme="minorHAnsi"/>
          <w:i/>
          <w:iCs/>
          <w:kern w:val="0"/>
          <w:sz w:val="22"/>
          <w:szCs w:val="22"/>
          <w14:ligatures w14:val="none"/>
        </w:rPr>
        <w:t xml:space="preserve"> list of impacts. Use quantitative data where available (e.g., "Farmers using this method increased yields by X%").</w:t>
      </w:r>
    </w:p>
    <w:p w14:paraId="324B2CE0" w14:textId="77777777" w:rsidR="009F02E0" w:rsidRPr="009F02E0" w:rsidRDefault="009F02E0" w:rsidP="009F02E0">
      <w:pPr>
        <w:numPr>
          <w:ilvl w:val="0"/>
          <w:numId w:val="10"/>
        </w:num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Impact Narrative:</w:t>
      </w:r>
      <w:r w:rsidRPr="009F02E0">
        <w:rPr>
          <w:rFonts w:eastAsia="Times New Roman" w:cstheme="minorHAnsi"/>
          <w:kern w:val="0"/>
          <w:sz w:val="22"/>
          <w:szCs w:val="22"/>
          <w14:ligatures w14:val="none"/>
        </w:rPr>
        <w:t xml:space="preserve"> [Enter text here]</w:t>
      </w:r>
    </w:p>
    <w:p w14:paraId="0905656B" w14:textId="77777777" w:rsidR="009F02E0" w:rsidRPr="009F02E0" w:rsidRDefault="009F02E0" w:rsidP="009F02E0">
      <w:pPr>
        <w:spacing w:before="100" w:beforeAutospacing="1" w:after="100" w:afterAutospacing="1"/>
        <w:outlineLvl w:val="1"/>
        <w:rPr>
          <w:rFonts w:eastAsia="Times New Roman" w:cstheme="minorHAnsi"/>
          <w:b/>
          <w:bCs/>
          <w:kern w:val="0"/>
          <w:sz w:val="32"/>
          <w:szCs w:val="32"/>
          <w14:ligatures w14:val="none"/>
        </w:rPr>
      </w:pPr>
      <w:r w:rsidRPr="009F02E0">
        <w:rPr>
          <w:rFonts w:eastAsia="Times New Roman" w:cstheme="minorHAnsi"/>
          <w:b/>
          <w:bCs/>
          <w:kern w:val="0"/>
          <w:sz w:val="32"/>
          <w:szCs w:val="32"/>
          <w14:ligatures w14:val="none"/>
        </w:rPr>
        <w:lastRenderedPageBreak/>
        <w:t>4. Information and Technology Transfer</w:t>
      </w:r>
    </w:p>
    <w:p w14:paraId="2F107DC2"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i/>
          <w:iCs/>
          <w:kern w:val="0"/>
          <w:sz w:val="22"/>
          <w:szCs w:val="22"/>
          <w14:ligatures w14:val="none"/>
        </w:rPr>
        <w:t>Briefly describe plans or accomplishments for delivering results to users (Extension, Industry, Producers, etc.).</w:t>
      </w:r>
    </w:p>
    <w:p w14:paraId="26B544AF" w14:textId="77777777" w:rsidR="009F02E0" w:rsidRPr="009F02E0" w:rsidRDefault="009F02E0" w:rsidP="009F02E0">
      <w:pPr>
        <w:numPr>
          <w:ilvl w:val="0"/>
          <w:numId w:val="11"/>
        </w:num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Response:</w:t>
      </w:r>
      <w:r w:rsidRPr="009F02E0">
        <w:rPr>
          <w:rFonts w:eastAsia="Times New Roman" w:cstheme="minorHAnsi"/>
          <w:kern w:val="0"/>
          <w:sz w:val="22"/>
          <w:szCs w:val="22"/>
          <w14:ligatures w14:val="none"/>
        </w:rPr>
        <w:t xml:space="preserve"> [Enter text here]</w:t>
      </w:r>
    </w:p>
    <w:p w14:paraId="1318B2D0" w14:textId="77777777" w:rsidR="009F02E0" w:rsidRPr="009F02E0" w:rsidRDefault="009F02E0" w:rsidP="009F02E0">
      <w:pPr>
        <w:spacing w:before="100" w:beforeAutospacing="1" w:after="100" w:afterAutospacing="1"/>
        <w:outlineLvl w:val="1"/>
        <w:rPr>
          <w:rFonts w:eastAsia="Times New Roman" w:cstheme="minorHAnsi"/>
          <w:b/>
          <w:bCs/>
          <w:kern w:val="0"/>
          <w:sz w:val="32"/>
          <w:szCs w:val="32"/>
          <w14:ligatures w14:val="none"/>
        </w:rPr>
      </w:pPr>
      <w:r w:rsidRPr="009F02E0">
        <w:rPr>
          <w:rFonts w:eastAsia="Times New Roman" w:cstheme="minorHAnsi"/>
          <w:b/>
          <w:bCs/>
          <w:kern w:val="0"/>
          <w:sz w:val="32"/>
          <w:szCs w:val="32"/>
          <w14:ligatures w14:val="none"/>
        </w:rPr>
        <w:t>5. Grants, Contracts, and Other Resources</w:t>
      </w:r>
    </w:p>
    <w:p w14:paraId="359082BF"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i/>
          <w:iCs/>
          <w:kern w:val="0"/>
          <w:sz w:val="22"/>
          <w:szCs w:val="22"/>
          <w14:ligatures w14:val="none"/>
        </w:rPr>
        <w:t xml:space="preserve">List resources obtained </w:t>
      </w:r>
      <w:proofErr w:type="gramStart"/>
      <w:r w:rsidRPr="009F02E0">
        <w:rPr>
          <w:rFonts w:eastAsia="Times New Roman" w:cstheme="minorHAnsi"/>
          <w:i/>
          <w:iCs/>
          <w:kern w:val="0"/>
          <w:sz w:val="22"/>
          <w:szCs w:val="22"/>
          <w14:ligatures w14:val="none"/>
        </w:rPr>
        <w:t>as a result of</w:t>
      </w:r>
      <w:proofErr w:type="gramEnd"/>
      <w:r w:rsidRPr="009F02E0">
        <w:rPr>
          <w:rFonts w:eastAsia="Times New Roman" w:cstheme="minorHAnsi"/>
          <w:i/>
          <w:iCs/>
          <w:kern w:val="0"/>
          <w:sz w:val="22"/>
          <w:szCs w:val="22"/>
          <w14:ligatures w14:val="none"/>
        </w:rPr>
        <w:t xml:space="preserve"> this project's activities. Include collaborative grant submissions even if they were not funded.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8"/>
        <w:gridCol w:w="803"/>
        <w:gridCol w:w="537"/>
        <w:gridCol w:w="2351"/>
      </w:tblGrid>
      <w:tr w:rsidR="009F02E0" w:rsidRPr="009F02E0" w14:paraId="060C3720" w14:textId="77777777">
        <w:trPr>
          <w:tblCellSpacing w:w="15" w:type="dxa"/>
        </w:trPr>
        <w:tc>
          <w:tcPr>
            <w:tcW w:w="0" w:type="auto"/>
            <w:vAlign w:val="center"/>
            <w:hideMark/>
          </w:tcPr>
          <w:p w14:paraId="03F4A12C" w14:textId="77777777" w:rsidR="009F02E0" w:rsidRPr="009F02E0" w:rsidRDefault="009F02E0" w:rsidP="009F02E0">
            <w:pPr>
              <w:spacing w:before="100" w:beforeAutospacing="1" w:after="100" w:afterAutospacing="1"/>
              <w:jc w:val="center"/>
              <w:rPr>
                <w:rFonts w:eastAsia="Times New Roman" w:cstheme="minorHAnsi"/>
                <w:b/>
                <w:bCs/>
                <w:kern w:val="0"/>
                <w:sz w:val="22"/>
                <w:szCs w:val="22"/>
                <w14:ligatures w14:val="none"/>
              </w:rPr>
            </w:pPr>
            <w:r w:rsidRPr="009F02E0">
              <w:rPr>
                <w:rFonts w:eastAsia="Times New Roman" w:cstheme="minorHAnsi"/>
                <w:b/>
                <w:bCs/>
                <w:kern w:val="0"/>
                <w:sz w:val="22"/>
                <w:szCs w:val="22"/>
                <w14:ligatures w14:val="none"/>
              </w:rPr>
              <w:t>Funding Source</w:t>
            </w:r>
          </w:p>
        </w:tc>
        <w:tc>
          <w:tcPr>
            <w:tcW w:w="0" w:type="auto"/>
            <w:vAlign w:val="center"/>
            <w:hideMark/>
          </w:tcPr>
          <w:p w14:paraId="5AD7C8E9" w14:textId="77777777" w:rsidR="009F02E0" w:rsidRPr="009F02E0" w:rsidRDefault="009F02E0" w:rsidP="009F02E0">
            <w:pPr>
              <w:spacing w:before="100" w:beforeAutospacing="1" w:after="100" w:afterAutospacing="1"/>
              <w:jc w:val="center"/>
              <w:rPr>
                <w:rFonts w:eastAsia="Times New Roman" w:cstheme="minorHAnsi"/>
                <w:b/>
                <w:bCs/>
                <w:kern w:val="0"/>
                <w:sz w:val="22"/>
                <w:szCs w:val="22"/>
                <w14:ligatures w14:val="none"/>
              </w:rPr>
            </w:pPr>
            <w:r w:rsidRPr="009F02E0">
              <w:rPr>
                <w:rFonts w:eastAsia="Times New Roman" w:cstheme="minorHAnsi"/>
                <w:b/>
                <w:bCs/>
                <w:kern w:val="0"/>
                <w:sz w:val="22"/>
                <w:szCs w:val="22"/>
                <w14:ligatures w14:val="none"/>
              </w:rPr>
              <w:t>Amount</w:t>
            </w:r>
          </w:p>
        </w:tc>
        <w:tc>
          <w:tcPr>
            <w:tcW w:w="0" w:type="auto"/>
            <w:vAlign w:val="center"/>
            <w:hideMark/>
          </w:tcPr>
          <w:p w14:paraId="234367C4" w14:textId="77777777" w:rsidR="009F02E0" w:rsidRPr="009F02E0" w:rsidRDefault="009F02E0" w:rsidP="009F02E0">
            <w:pPr>
              <w:spacing w:before="100" w:beforeAutospacing="1" w:after="100" w:afterAutospacing="1"/>
              <w:jc w:val="center"/>
              <w:rPr>
                <w:rFonts w:eastAsia="Times New Roman" w:cstheme="minorHAnsi"/>
                <w:b/>
                <w:bCs/>
                <w:kern w:val="0"/>
                <w:sz w:val="22"/>
                <w:szCs w:val="22"/>
                <w14:ligatures w14:val="none"/>
              </w:rPr>
            </w:pPr>
            <w:r w:rsidRPr="009F02E0">
              <w:rPr>
                <w:rFonts w:eastAsia="Times New Roman" w:cstheme="minorHAnsi"/>
                <w:b/>
                <w:bCs/>
                <w:kern w:val="0"/>
                <w:sz w:val="22"/>
                <w:szCs w:val="22"/>
                <w14:ligatures w14:val="none"/>
              </w:rPr>
              <w:t>Term</w:t>
            </w:r>
          </w:p>
        </w:tc>
        <w:tc>
          <w:tcPr>
            <w:tcW w:w="0" w:type="auto"/>
            <w:vAlign w:val="center"/>
            <w:hideMark/>
          </w:tcPr>
          <w:p w14:paraId="6BF08ADD" w14:textId="77777777" w:rsidR="009F02E0" w:rsidRPr="009F02E0" w:rsidRDefault="009F02E0" w:rsidP="009F02E0">
            <w:pPr>
              <w:spacing w:before="100" w:beforeAutospacing="1" w:after="100" w:afterAutospacing="1"/>
              <w:jc w:val="center"/>
              <w:rPr>
                <w:rFonts w:eastAsia="Times New Roman" w:cstheme="minorHAnsi"/>
                <w:b/>
                <w:bCs/>
                <w:kern w:val="0"/>
                <w:sz w:val="22"/>
                <w:szCs w:val="22"/>
                <w14:ligatures w14:val="none"/>
              </w:rPr>
            </w:pPr>
            <w:r w:rsidRPr="009F02E0">
              <w:rPr>
                <w:rFonts w:eastAsia="Times New Roman" w:cstheme="minorHAnsi"/>
                <w:b/>
                <w:bCs/>
                <w:kern w:val="0"/>
                <w:sz w:val="22"/>
                <w:szCs w:val="22"/>
                <w14:ligatures w14:val="none"/>
              </w:rPr>
              <w:t>Recipients/Collaborators</w:t>
            </w:r>
          </w:p>
        </w:tc>
      </w:tr>
      <w:tr w:rsidR="009F02E0" w:rsidRPr="009F02E0" w14:paraId="3B587829" w14:textId="77777777">
        <w:trPr>
          <w:tblCellSpacing w:w="15" w:type="dxa"/>
        </w:trPr>
        <w:tc>
          <w:tcPr>
            <w:tcW w:w="0" w:type="auto"/>
            <w:vAlign w:val="center"/>
            <w:hideMark/>
          </w:tcPr>
          <w:p w14:paraId="1DAB7D66" w14:textId="77777777" w:rsidR="009F02E0" w:rsidRPr="009F02E0" w:rsidRDefault="009F02E0" w:rsidP="009F02E0">
            <w:pPr>
              <w:rPr>
                <w:rFonts w:eastAsia="Times New Roman" w:cstheme="minorHAnsi"/>
                <w:b/>
                <w:bCs/>
                <w:kern w:val="0"/>
                <w:sz w:val="22"/>
                <w:szCs w:val="22"/>
                <w14:ligatures w14:val="none"/>
              </w:rPr>
            </w:pPr>
          </w:p>
        </w:tc>
        <w:tc>
          <w:tcPr>
            <w:tcW w:w="0" w:type="auto"/>
            <w:vAlign w:val="center"/>
            <w:hideMark/>
          </w:tcPr>
          <w:p w14:paraId="56F6836D" w14:textId="77777777" w:rsidR="009F02E0" w:rsidRPr="009F02E0" w:rsidRDefault="009F02E0" w:rsidP="009F02E0">
            <w:pPr>
              <w:rPr>
                <w:rFonts w:eastAsia="Times New Roman" w:cstheme="minorHAnsi"/>
                <w:kern w:val="0"/>
                <w:sz w:val="18"/>
                <w:szCs w:val="18"/>
                <w14:ligatures w14:val="none"/>
              </w:rPr>
            </w:pPr>
          </w:p>
        </w:tc>
        <w:tc>
          <w:tcPr>
            <w:tcW w:w="0" w:type="auto"/>
            <w:vAlign w:val="center"/>
            <w:hideMark/>
          </w:tcPr>
          <w:p w14:paraId="4A1CD07A" w14:textId="77777777" w:rsidR="009F02E0" w:rsidRPr="009F02E0" w:rsidRDefault="009F02E0" w:rsidP="009F02E0">
            <w:pPr>
              <w:rPr>
                <w:rFonts w:eastAsia="Times New Roman" w:cstheme="minorHAnsi"/>
                <w:kern w:val="0"/>
                <w:sz w:val="18"/>
                <w:szCs w:val="18"/>
                <w14:ligatures w14:val="none"/>
              </w:rPr>
            </w:pPr>
          </w:p>
        </w:tc>
        <w:tc>
          <w:tcPr>
            <w:tcW w:w="0" w:type="auto"/>
            <w:vAlign w:val="center"/>
            <w:hideMark/>
          </w:tcPr>
          <w:p w14:paraId="4E76B707" w14:textId="77777777" w:rsidR="009F02E0" w:rsidRPr="009F02E0" w:rsidRDefault="009F02E0" w:rsidP="009F02E0">
            <w:pPr>
              <w:rPr>
                <w:rFonts w:eastAsia="Times New Roman" w:cstheme="minorHAnsi"/>
                <w:kern w:val="0"/>
                <w:sz w:val="18"/>
                <w:szCs w:val="18"/>
                <w14:ligatures w14:val="none"/>
              </w:rPr>
            </w:pPr>
          </w:p>
        </w:tc>
      </w:tr>
    </w:tbl>
    <w:p w14:paraId="4C0696F5" w14:textId="77777777" w:rsidR="009F02E0" w:rsidRPr="009F02E0" w:rsidRDefault="009F02E0" w:rsidP="009F02E0">
      <w:pPr>
        <w:spacing w:before="100" w:beforeAutospacing="1" w:after="100" w:afterAutospacing="1"/>
        <w:outlineLvl w:val="1"/>
        <w:rPr>
          <w:rFonts w:eastAsia="Times New Roman" w:cstheme="minorHAnsi"/>
          <w:b/>
          <w:bCs/>
          <w:kern w:val="0"/>
          <w:sz w:val="32"/>
          <w:szCs w:val="32"/>
          <w14:ligatures w14:val="none"/>
        </w:rPr>
      </w:pPr>
      <w:r w:rsidRPr="009F02E0">
        <w:rPr>
          <w:rFonts w:eastAsia="Times New Roman" w:cstheme="minorHAnsi"/>
          <w:b/>
          <w:bCs/>
          <w:kern w:val="0"/>
          <w:sz w:val="32"/>
          <w:szCs w:val="32"/>
          <w14:ligatures w14:val="none"/>
        </w:rPr>
        <w:t>6. Publications</w:t>
      </w:r>
    </w:p>
    <w:p w14:paraId="33DA1B95"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i/>
          <w:iCs/>
          <w:kern w:val="0"/>
          <w:sz w:val="22"/>
          <w:szCs w:val="22"/>
          <w14:ligatures w14:val="none"/>
        </w:rPr>
        <w:t>List publications for the current project year only (since the last report) that relate directly to project objectives.</w:t>
      </w:r>
    </w:p>
    <w:p w14:paraId="5160F028" w14:textId="77777777" w:rsidR="009F02E0" w:rsidRPr="009F02E0" w:rsidRDefault="009F02E0" w:rsidP="009F02E0">
      <w:pPr>
        <w:numPr>
          <w:ilvl w:val="0"/>
          <w:numId w:val="12"/>
        </w:num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Full Citation (including DOI):</w:t>
      </w:r>
      <w:r w:rsidRPr="009F02E0">
        <w:rPr>
          <w:rFonts w:eastAsia="Times New Roman" w:cstheme="minorHAnsi"/>
          <w:kern w:val="0"/>
          <w:sz w:val="22"/>
          <w:szCs w:val="22"/>
          <w14:ligatures w14:val="none"/>
        </w:rPr>
        <w:t xml:space="preserve"> [Enter text here]</w:t>
      </w:r>
    </w:p>
    <w:p w14:paraId="0EE9FDE2" w14:textId="77777777" w:rsidR="009F02E0" w:rsidRPr="009F02E0" w:rsidRDefault="009F02E0" w:rsidP="009F02E0">
      <w:pPr>
        <w:spacing w:before="100" w:beforeAutospacing="1" w:after="100" w:afterAutospacing="1"/>
        <w:rPr>
          <w:rFonts w:eastAsia="Times New Roman" w:cstheme="minorHAnsi"/>
          <w:kern w:val="0"/>
          <w:sz w:val="22"/>
          <w:szCs w:val="22"/>
          <w14:ligatures w14:val="none"/>
        </w:rPr>
      </w:pPr>
      <w:r w:rsidRPr="009F02E0">
        <w:rPr>
          <w:rFonts w:eastAsia="Times New Roman" w:cstheme="minorHAnsi"/>
          <w:b/>
          <w:bCs/>
          <w:kern w:val="0"/>
          <w:sz w:val="22"/>
          <w:szCs w:val="22"/>
          <w14:ligatures w14:val="none"/>
        </w:rPr>
        <w:t>Thank you for your contribution to the [Project Number] Annual Report.</w:t>
      </w:r>
    </w:p>
    <w:p w14:paraId="5AED719D" w14:textId="320CCB2F" w:rsidR="00C715E8" w:rsidRDefault="00C715E8">
      <w:pPr>
        <w:spacing w:after="160" w:line="259" w:lineRule="auto"/>
        <w:rPr>
          <w:rFonts w:cstheme="minorHAnsi"/>
          <w:sz w:val="22"/>
          <w:szCs w:val="22"/>
        </w:rPr>
      </w:pPr>
      <w:r>
        <w:rPr>
          <w:rFonts w:cstheme="minorHAnsi"/>
          <w:sz w:val="22"/>
          <w:szCs w:val="22"/>
        </w:rPr>
        <w:br w:type="page"/>
      </w:r>
    </w:p>
    <w:p w14:paraId="03D57342" w14:textId="71F53712" w:rsidR="000F52CC" w:rsidRPr="000F52CC" w:rsidRDefault="000F52CC" w:rsidP="000F52CC">
      <w:pPr>
        <w:jc w:val="center"/>
        <w:rPr>
          <w:rFonts w:cstheme="minorHAnsi"/>
          <w:b/>
          <w:bCs/>
          <w:sz w:val="28"/>
          <w:szCs w:val="28"/>
        </w:rPr>
      </w:pPr>
      <w:r w:rsidRPr="000F52CC">
        <w:rPr>
          <w:rFonts w:cstheme="minorHAnsi"/>
          <w:b/>
          <w:bCs/>
          <w:sz w:val="28"/>
          <w:szCs w:val="28"/>
        </w:rPr>
        <w:lastRenderedPageBreak/>
        <w:t xml:space="preserve">NC1193 Annual Accomplishments Report </w:t>
      </w:r>
      <w:r w:rsidRPr="000F52CC">
        <w:rPr>
          <w:rFonts w:cstheme="minorHAnsi"/>
          <w:b/>
          <w:bCs/>
          <w:sz w:val="28"/>
          <w:szCs w:val="28"/>
        </w:rPr>
        <w:t xml:space="preserve">Example </w:t>
      </w:r>
      <w:r w:rsidRPr="000F52CC">
        <w:rPr>
          <w:rFonts w:cstheme="minorHAnsi"/>
          <w:b/>
          <w:bCs/>
          <w:sz w:val="28"/>
          <w:szCs w:val="28"/>
        </w:rPr>
        <w:t>for NIMSS</w:t>
      </w:r>
    </w:p>
    <w:p w14:paraId="2EB36559" w14:textId="77777777" w:rsidR="000F52CC" w:rsidRPr="000F52CC" w:rsidRDefault="000F52CC" w:rsidP="000F52CC">
      <w:pPr>
        <w:jc w:val="center"/>
        <w:rPr>
          <w:rFonts w:cstheme="minorHAnsi"/>
          <w:sz w:val="22"/>
          <w:szCs w:val="22"/>
        </w:rPr>
      </w:pPr>
      <w:r w:rsidRPr="000F52CC">
        <w:rPr>
          <w:rFonts w:cstheme="minorHAnsi"/>
          <w:sz w:val="22"/>
          <w:szCs w:val="22"/>
          <w:highlight w:val="yellow"/>
        </w:rPr>
        <w:t>(note that this example report was from 2018 and does not include the Grants and Other Resources section that we now strongly recommend)</w:t>
      </w:r>
    </w:p>
    <w:p w14:paraId="3343CDEA" w14:textId="77777777" w:rsidR="000F52CC" w:rsidRPr="000F52CC" w:rsidRDefault="000F52CC" w:rsidP="000F52CC">
      <w:pPr>
        <w:rPr>
          <w:rFonts w:cstheme="minorHAnsi"/>
          <w:sz w:val="22"/>
          <w:szCs w:val="22"/>
        </w:rPr>
      </w:pPr>
    </w:p>
    <w:p w14:paraId="4B3F67E5" w14:textId="77777777" w:rsidR="000F52CC" w:rsidRPr="000F52CC" w:rsidRDefault="000F52CC" w:rsidP="000F52CC">
      <w:pPr>
        <w:rPr>
          <w:rFonts w:cstheme="minorHAnsi"/>
          <w:bCs/>
          <w:sz w:val="22"/>
          <w:szCs w:val="22"/>
        </w:rPr>
      </w:pPr>
      <w:r w:rsidRPr="000F52CC">
        <w:rPr>
          <w:rFonts w:cstheme="minorHAnsi"/>
          <w:b/>
          <w:bCs/>
          <w:sz w:val="22"/>
          <w:szCs w:val="22"/>
        </w:rPr>
        <w:t xml:space="preserve">Project/Activity Number: </w:t>
      </w:r>
      <w:r w:rsidRPr="000F52CC">
        <w:rPr>
          <w:rFonts w:cstheme="minorHAnsi"/>
          <w:bCs/>
          <w:sz w:val="22"/>
          <w:szCs w:val="22"/>
        </w:rPr>
        <w:t>NC1193</w:t>
      </w:r>
    </w:p>
    <w:p w14:paraId="5A818685" w14:textId="77777777" w:rsidR="000F52CC" w:rsidRPr="000F52CC" w:rsidRDefault="000F52CC" w:rsidP="000F52CC">
      <w:pPr>
        <w:rPr>
          <w:rFonts w:cstheme="minorHAnsi"/>
          <w:sz w:val="22"/>
          <w:szCs w:val="22"/>
        </w:rPr>
      </w:pPr>
      <w:r w:rsidRPr="000F52CC">
        <w:rPr>
          <w:rFonts w:cstheme="minorHAnsi"/>
          <w:b/>
          <w:sz w:val="22"/>
          <w:szCs w:val="22"/>
        </w:rPr>
        <w:t xml:space="preserve">Project/Activity Title: </w:t>
      </w:r>
      <w:r w:rsidRPr="000F52CC">
        <w:rPr>
          <w:rFonts w:cstheme="minorHAnsi"/>
          <w:sz w:val="22"/>
          <w:szCs w:val="22"/>
        </w:rPr>
        <w:t>Using Behavioral and Environmental Tools to Identify Weight Related Factors Associated with Health in Communities of Young Adults</w:t>
      </w:r>
    </w:p>
    <w:p w14:paraId="36127D59" w14:textId="77777777" w:rsidR="000F52CC" w:rsidRPr="000F52CC" w:rsidRDefault="000F52CC" w:rsidP="000F52CC">
      <w:pPr>
        <w:rPr>
          <w:rFonts w:cstheme="minorHAnsi"/>
          <w:sz w:val="22"/>
          <w:szCs w:val="22"/>
        </w:rPr>
      </w:pPr>
      <w:r w:rsidRPr="000F52CC">
        <w:rPr>
          <w:rFonts w:cstheme="minorHAnsi"/>
          <w:b/>
          <w:sz w:val="22"/>
          <w:szCs w:val="22"/>
        </w:rPr>
        <w:t xml:space="preserve">Period Covered: </w:t>
      </w:r>
      <w:r w:rsidRPr="000F52CC">
        <w:rPr>
          <w:rFonts w:cstheme="minorHAnsi"/>
          <w:sz w:val="22"/>
          <w:szCs w:val="22"/>
        </w:rPr>
        <w:t>10/01/2017 to 09/30/2018</w:t>
      </w:r>
    </w:p>
    <w:p w14:paraId="7E5FA1C9" w14:textId="77777777" w:rsidR="000F52CC" w:rsidRPr="000F52CC" w:rsidRDefault="000F52CC" w:rsidP="000F52CC">
      <w:pPr>
        <w:rPr>
          <w:rFonts w:cstheme="minorHAnsi"/>
          <w:sz w:val="22"/>
          <w:szCs w:val="22"/>
        </w:rPr>
      </w:pPr>
      <w:r w:rsidRPr="000F52CC">
        <w:rPr>
          <w:rFonts w:cstheme="minorHAnsi"/>
          <w:b/>
          <w:sz w:val="22"/>
          <w:szCs w:val="22"/>
        </w:rPr>
        <w:t xml:space="preserve">Date of Report: </w:t>
      </w:r>
      <w:r w:rsidRPr="000F52CC">
        <w:rPr>
          <w:rFonts w:cstheme="minorHAnsi"/>
          <w:sz w:val="22"/>
          <w:szCs w:val="22"/>
        </w:rPr>
        <w:t>04/02/2018</w:t>
      </w:r>
    </w:p>
    <w:p w14:paraId="35CE8FC9" w14:textId="77777777" w:rsidR="000F52CC" w:rsidRPr="000F52CC" w:rsidRDefault="000F52CC" w:rsidP="000F52CC">
      <w:pPr>
        <w:rPr>
          <w:rFonts w:cstheme="minorHAnsi"/>
          <w:sz w:val="22"/>
          <w:szCs w:val="22"/>
        </w:rPr>
      </w:pPr>
      <w:r w:rsidRPr="000F52CC">
        <w:rPr>
          <w:rFonts w:cstheme="minorHAnsi"/>
          <w:b/>
          <w:sz w:val="22"/>
          <w:szCs w:val="22"/>
        </w:rPr>
        <w:t xml:space="preserve">Annual Meeting Dates: </w:t>
      </w:r>
      <w:r w:rsidRPr="000F52CC">
        <w:rPr>
          <w:rFonts w:cstheme="minorHAnsi"/>
          <w:sz w:val="22"/>
          <w:szCs w:val="22"/>
        </w:rPr>
        <w:t>01/29/2018 to 02/03/2018</w:t>
      </w:r>
    </w:p>
    <w:p w14:paraId="506EDDEC" w14:textId="77777777" w:rsidR="000F52CC" w:rsidRPr="000F52CC" w:rsidRDefault="000F52CC" w:rsidP="000F52CC">
      <w:pPr>
        <w:rPr>
          <w:rFonts w:cstheme="minorHAnsi"/>
          <w:sz w:val="22"/>
          <w:szCs w:val="22"/>
        </w:rPr>
      </w:pPr>
    </w:p>
    <w:p w14:paraId="484480A6" w14:textId="77777777" w:rsidR="000F52CC" w:rsidRPr="000F52CC" w:rsidRDefault="000F52CC" w:rsidP="000F52CC">
      <w:pPr>
        <w:rPr>
          <w:rFonts w:cstheme="minorHAnsi"/>
          <w:sz w:val="22"/>
          <w:szCs w:val="22"/>
        </w:rPr>
      </w:pPr>
      <w:r w:rsidRPr="000F52CC">
        <w:rPr>
          <w:rFonts w:cstheme="minorHAnsi"/>
          <w:b/>
          <w:sz w:val="22"/>
          <w:szCs w:val="22"/>
        </w:rPr>
        <w:t xml:space="preserve">Participants: </w:t>
      </w:r>
      <w:r w:rsidRPr="000F52CC">
        <w:rPr>
          <w:rFonts w:cstheme="minorHAnsi"/>
          <w:sz w:val="22"/>
          <w:szCs w:val="22"/>
        </w:rPr>
        <w:t xml:space="preserve">Brown, Onikia </w:t>
      </w:r>
      <w:hyperlink r:id="rId5">
        <w:r w:rsidRPr="000F52CC">
          <w:rPr>
            <w:rStyle w:val="Hyperlink"/>
            <w:rFonts w:cstheme="minorHAnsi"/>
            <w:sz w:val="22"/>
            <w:szCs w:val="22"/>
          </w:rPr>
          <w:t>(onb0001@auburn.edu)</w:t>
        </w:r>
      </w:hyperlink>
      <w:r w:rsidRPr="000F52CC">
        <w:rPr>
          <w:rFonts w:cstheme="minorHAnsi"/>
          <w:sz w:val="22"/>
          <w:szCs w:val="22"/>
        </w:rPr>
        <w:t xml:space="preserve"> – Auburn University; Byrd-Bredbenner, Carol </w:t>
      </w:r>
      <w:hyperlink r:id="rId6">
        <w:r w:rsidRPr="000F52CC">
          <w:rPr>
            <w:rStyle w:val="Hyperlink"/>
            <w:rFonts w:cstheme="minorHAnsi"/>
            <w:sz w:val="22"/>
            <w:szCs w:val="22"/>
          </w:rPr>
          <w:t>(bredbenner@aesop.rutgers.edu)</w:t>
        </w:r>
      </w:hyperlink>
      <w:r w:rsidRPr="000F52CC">
        <w:rPr>
          <w:rFonts w:cstheme="minorHAnsi"/>
          <w:sz w:val="22"/>
          <w:szCs w:val="22"/>
        </w:rPr>
        <w:t xml:space="preserve"> – Rutgers University; Colby, Sarah </w:t>
      </w:r>
      <w:hyperlink r:id="rId7">
        <w:r w:rsidRPr="000F52CC">
          <w:rPr>
            <w:rStyle w:val="Hyperlink"/>
            <w:rFonts w:cstheme="minorHAnsi"/>
            <w:sz w:val="22"/>
            <w:szCs w:val="22"/>
          </w:rPr>
          <w:t>(scolby1@utk.edu)</w:t>
        </w:r>
      </w:hyperlink>
      <w:r w:rsidRPr="000F52CC">
        <w:rPr>
          <w:rFonts w:cstheme="minorHAnsi"/>
          <w:sz w:val="22"/>
          <w:szCs w:val="22"/>
        </w:rPr>
        <w:t xml:space="preserve"> – University of Tennessee; Franzen-Castle, Lisa </w:t>
      </w:r>
      <w:hyperlink r:id="rId8">
        <w:r w:rsidRPr="000F52CC">
          <w:rPr>
            <w:rStyle w:val="Hyperlink"/>
            <w:rFonts w:cstheme="minorHAnsi"/>
            <w:sz w:val="22"/>
            <w:szCs w:val="22"/>
          </w:rPr>
          <w:t>(lfranzen2@unl.edu)</w:t>
        </w:r>
      </w:hyperlink>
      <w:r w:rsidRPr="000F52CC">
        <w:rPr>
          <w:rFonts w:cstheme="minorHAnsi"/>
          <w:sz w:val="22"/>
          <w:szCs w:val="22"/>
        </w:rPr>
        <w:t xml:space="preserve"> – University of Nebraska; Greene, Geoffrey </w:t>
      </w:r>
      <w:hyperlink r:id="rId9">
        <w:r w:rsidRPr="000F52CC">
          <w:rPr>
            <w:rStyle w:val="Hyperlink"/>
            <w:rFonts w:cstheme="minorHAnsi"/>
            <w:sz w:val="22"/>
            <w:szCs w:val="22"/>
          </w:rPr>
          <w:t>(gwg@uri.edu)</w:t>
        </w:r>
      </w:hyperlink>
      <w:r w:rsidRPr="000F52CC">
        <w:rPr>
          <w:rFonts w:cstheme="minorHAnsi"/>
          <w:sz w:val="22"/>
          <w:szCs w:val="22"/>
        </w:rPr>
        <w:t xml:space="preserve"> – University of Rhode Island; Horacek, Tanya </w:t>
      </w:r>
      <w:hyperlink r:id="rId10">
        <w:r w:rsidRPr="000F52CC">
          <w:rPr>
            <w:rStyle w:val="Hyperlink"/>
            <w:rFonts w:cstheme="minorHAnsi"/>
            <w:sz w:val="22"/>
            <w:szCs w:val="22"/>
          </w:rPr>
          <w:t>(thoracek@syr.edu)</w:t>
        </w:r>
      </w:hyperlink>
      <w:r w:rsidRPr="000F52CC">
        <w:rPr>
          <w:rFonts w:cstheme="minorHAnsi"/>
          <w:sz w:val="22"/>
          <w:szCs w:val="22"/>
        </w:rPr>
        <w:t xml:space="preserve"> – Syracuse University; Kattelmann, Kendra </w:t>
      </w:r>
      <w:hyperlink r:id="rId11">
        <w:r w:rsidRPr="000F52CC">
          <w:rPr>
            <w:rStyle w:val="Hyperlink"/>
            <w:rFonts w:cstheme="minorHAnsi"/>
            <w:sz w:val="22"/>
            <w:szCs w:val="22"/>
          </w:rPr>
          <w:t>(kendra.kattelmann@sdstate.edu)</w:t>
        </w:r>
      </w:hyperlink>
      <w:r w:rsidRPr="000F52CC">
        <w:rPr>
          <w:rFonts w:cstheme="minorHAnsi"/>
          <w:sz w:val="22"/>
          <w:szCs w:val="22"/>
        </w:rPr>
        <w:t xml:space="preserve"> – South Dakota State University; Kidd, </w:t>
      </w:r>
      <w:proofErr w:type="spellStart"/>
      <w:r w:rsidRPr="000F52CC">
        <w:rPr>
          <w:rFonts w:cstheme="minorHAnsi"/>
          <w:sz w:val="22"/>
          <w:szCs w:val="22"/>
        </w:rPr>
        <w:t>Tandalayo</w:t>
      </w:r>
      <w:proofErr w:type="spellEnd"/>
      <w:r w:rsidRPr="000F52CC">
        <w:rPr>
          <w:rFonts w:cstheme="minorHAnsi"/>
          <w:sz w:val="22"/>
          <w:szCs w:val="22"/>
        </w:rPr>
        <w:t xml:space="preserve"> </w:t>
      </w:r>
      <w:hyperlink r:id="rId12">
        <w:r w:rsidRPr="000F52CC">
          <w:rPr>
            <w:rStyle w:val="Hyperlink"/>
            <w:rFonts w:cstheme="minorHAnsi"/>
            <w:sz w:val="22"/>
            <w:szCs w:val="22"/>
          </w:rPr>
          <w:t>(martan@ksu.edu)</w:t>
        </w:r>
      </w:hyperlink>
      <w:r w:rsidRPr="000F52CC">
        <w:rPr>
          <w:rFonts w:cstheme="minorHAnsi"/>
          <w:sz w:val="22"/>
          <w:szCs w:val="22"/>
        </w:rPr>
        <w:t xml:space="preserve"> – Kansas State University; Morrell, Jesse Stabile </w:t>
      </w:r>
      <w:hyperlink r:id="rId13">
        <w:r w:rsidRPr="000F52CC">
          <w:rPr>
            <w:rStyle w:val="Hyperlink"/>
            <w:rFonts w:cstheme="minorHAnsi"/>
            <w:sz w:val="22"/>
            <w:szCs w:val="22"/>
          </w:rPr>
          <w:t>(jesse.morrell@unh.edu)</w:t>
        </w:r>
      </w:hyperlink>
      <w:r w:rsidRPr="000F52CC">
        <w:rPr>
          <w:rFonts w:cstheme="minorHAnsi"/>
          <w:sz w:val="22"/>
          <w:szCs w:val="22"/>
        </w:rPr>
        <w:t xml:space="preserve"> – University of New Hampshire; Mosby, Terezie </w:t>
      </w:r>
      <w:hyperlink r:id="rId14">
        <w:r w:rsidRPr="000F52CC">
          <w:rPr>
            <w:rStyle w:val="Hyperlink"/>
            <w:rFonts w:cstheme="minorHAnsi"/>
            <w:sz w:val="22"/>
            <w:szCs w:val="22"/>
          </w:rPr>
          <w:t>(terezie.mosby@msstate.edu)</w:t>
        </w:r>
      </w:hyperlink>
      <w:r w:rsidRPr="000F52CC">
        <w:rPr>
          <w:rFonts w:cstheme="minorHAnsi"/>
          <w:sz w:val="22"/>
          <w:szCs w:val="22"/>
        </w:rPr>
        <w:t xml:space="preserve"> – Mississippi State University Olfert, Melissa </w:t>
      </w:r>
      <w:hyperlink r:id="rId15">
        <w:r w:rsidRPr="000F52CC">
          <w:rPr>
            <w:rStyle w:val="Hyperlink"/>
            <w:rFonts w:cstheme="minorHAnsi"/>
            <w:sz w:val="22"/>
            <w:szCs w:val="22"/>
          </w:rPr>
          <w:t>(melissa.olfert@mail.wvu.edu)</w:t>
        </w:r>
      </w:hyperlink>
      <w:r w:rsidRPr="000F52CC">
        <w:rPr>
          <w:rFonts w:cstheme="minorHAnsi"/>
          <w:sz w:val="22"/>
          <w:szCs w:val="22"/>
        </w:rPr>
        <w:t xml:space="preserve"> – West Virginia University; Shelnutt, Karla </w:t>
      </w:r>
      <w:hyperlink r:id="rId16">
        <w:r w:rsidRPr="000F52CC">
          <w:rPr>
            <w:rStyle w:val="Hyperlink"/>
            <w:rFonts w:cstheme="minorHAnsi"/>
            <w:sz w:val="22"/>
            <w:szCs w:val="22"/>
          </w:rPr>
          <w:t>(kpagan@ufl.edu)</w:t>
        </w:r>
      </w:hyperlink>
      <w:r w:rsidRPr="000F52CC">
        <w:rPr>
          <w:rFonts w:cstheme="minorHAnsi"/>
          <w:sz w:val="22"/>
          <w:szCs w:val="22"/>
        </w:rPr>
        <w:t xml:space="preserve"> – University of Florida</w:t>
      </w:r>
    </w:p>
    <w:p w14:paraId="070838F3" w14:textId="77777777" w:rsidR="000F52CC" w:rsidRPr="000F52CC" w:rsidRDefault="000F52CC" w:rsidP="000F52CC">
      <w:pPr>
        <w:rPr>
          <w:rFonts w:cstheme="minorHAnsi"/>
          <w:sz w:val="22"/>
          <w:szCs w:val="22"/>
        </w:rPr>
      </w:pPr>
    </w:p>
    <w:p w14:paraId="617D712E" w14:textId="77777777" w:rsidR="000F52CC" w:rsidRPr="000F52CC" w:rsidRDefault="000F52CC" w:rsidP="000F52CC">
      <w:pPr>
        <w:rPr>
          <w:rFonts w:cstheme="minorHAnsi"/>
          <w:b/>
          <w:bCs/>
          <w:sz w:val="22"/>
          <w:szCs w:val="22"/>
        </w:rPr>
      </w:pPr>
      <w:r w:rsidRPr="000F52CC">
        <w:rPr>
          <w:rFonts w:cstheme="minorHAnsi"/>
          <w:b/>
          <w:bCs/>
          <w:sz w:val="22"/>
          <w:szCs w:val="22"/>
        </w:rPr>
        <w:t>Brief Summary of Minutes of Annual Meeting:</w:t>
      </w:r>
    </w:p>
    <w:p w14:paraId="246BE6AD" w14:textId="77777777" w:rsidR="000F52CC" w:rsidRPr="000F52CC" w:rsidRDefault="000F52CC" w:rsidP="000F52CC">
      <w:pPr>
        <w:numPr>
          <w:ilvl w:val="0"/>
          <w:numId w:val="14"/>
        </w:numPr>
        <w:rPr>
          <w:rFonts w:cstheme="minorHAnsi"/>
          <w:sz w:val="22"/>
          <w:szCs w:val="22"/>
        </w:rPr>
      </w:pPr>
      <w:r w:rsidRPr="000F52CC">
        <w:rPr>
          <w:rFonts w:cstheme="minorHAnsi"/>
          <w:sz w:val="22"/>
          <w:szCs w:val="22"/>
        </w:rPr>
        <w:t xml:space="preserve">Welcome, introductions, agenda review: the meeting started with a general welcome to the group as well as reviewing the agenda. Introductions were </w:t>
      </w:r>
      <w:proofErr w:type="gramStart"/>
      <w:r w:rsidRPr="000F52CC">
        <w:rPr>
          <w:rFonts w:cstheme="minorHAnsi"/>
          <w:sz w:val="22"/>
          <w:szCs w:val="22"/>
        </w:rPr>
        <w:t>done</w:t>
      </w:r>
      <w:proofErr w:type="gramEnd"/>
      <w:r w:rsidRPr="000F52CC">
        <w:rPr>
          <w:rFonts w:cstheme="minorHAnsi"/>
          <w:sz w:val="22"/>
          <w:szCs w:val="22"/>
        </w:rPr>
        <w:t xml:space="preserve"> with the whole group, which included not only NC-1193 members but also students who were in attendance.</w:t>
      </w:r>
    </w:p>
    <w:p w14:paraId="5A7D4314" w14:textId="77777777" w:rsidR="000F52CC" w:rsidRPr="000F52CC" w:rsidRDefault="000F52CC" w:rsidP="000F52CC">
      <w:pPr>
        <w:numPr>
          <w:ilvl w:val="0"/>
          <w:numId w:val="14"/>
        </w:numPr>
        <w:rPr>
          <w:rFonts w:cstheme="minorHAnsi"/>
          <w:sz w:val="22"/>
          <w:szCs w:val="22"/>
        </w:rPr>
      </w:pPr>
      <w:r w:rsidRPr="000F52CC">
        <w:rPr>
          <w:rFonts w:cstheme="minorHAnsi"/>
          <w:sz w:val="22"/>
          <w:szCs w:val="22"/>
        </w:rPr>
        <w:t>Administrative Update: Mallory Koenings provided an administrative update on the proposed changes &amp; reorganization to the AFRI program, as well as staffing/hiring status at USDA.</w:t>
      </w:r>
    </w:p>
    <w:p w14:paraId="12833401" w14:textId="77777777" w:rsidR="000F52CC" w:rsidRPr="000F52CC" w:rsidRDefault="000F52CC" w:rsidP="000F52CC">
      <w:pPr>
        <w:numPr>
          <w:ilvl w:val="0"/>
          <w:numId w:val="14"/>
        </w:numPr>
        <w:rPr>
          <w:rFonts w:cstheme="minorHAnsi"/>
          <w:sz w:val="22"/>
          <w:szCs w:val="22"/>
        </w:rPr>
      </w:pPr>
      <w:r w:rsidRPr="000F52CC">
        <w:rPr>
          <w:rFonts w:cstheme="minorHAnsi"/>
          <w:sz w:val="22"/>
          <w:szCs w:val="22"/>
        </w:rPr>
        <w:t>State report highlights: Group members provided pertinent updates regarding changes or new developments at the individual, department, college, and/or university level as well as information regarding new hires and position announcements.</w:t>
      </w:r>
    </w:p>
    <w:p w14:paraId="4E6EC6C1" w14:textId="77777777" w:rsidR="000F52CC" w:rsidRPr="000F52CC" w:rsidRDefault="000F52CC" w:rsidP="000F52CC">
      <w:pPr>
        <w:numPr>
          <w:ilvl w:val="0"/>
          <w:numId w:val="14"/>
        </w:numPr>
        <w:rPr>
          <w:rFonts w:cstheme="minorHAnsi"/>
          <w:sz w:val="22"/>
          <w:szCs w:val="22"/>
        </w:rPr>
      </w:pPr>
      <w:r w:rsidRPr="000F52CC">
        <w:rPr>
          <w:rFonts w:cstheme="minorHAnsi"/>
          <w:sz w:val="22"/>
          <w:szCs w:val="22"/>
        </w:rPr>
        <w:t>Project review: Group reviewed the 5-year current plan for the NC1993 project and discussed plans for the upcoming year.</w:t>
      </w:r>
    </w:p>
    <w:p w14:paraId="0ACBC364" w14:textId="77777777" w:rsidR="000F52CC" w:rsidRPr="000F52CC" w:rsidRDefault="000F52CC" w:rsidP="000F52CC">
      <w:pPr>
        <w:numPr>
          <w:ilvl w:val="0"/>
          <w:numId w:val="14"/>
        </w:numPr>
        <w:rPr>
          <w:rFonts w:cstheme="minorHAnsi"/>
          <w:sz w:val="22"/>
          <w:szCs w:val="22"/>
        </w:rPr>
      </w:pPr>
      <w:r w:rsidRPr="000F52CC">
        <w:rPr>
          <w:rFonts w:cstheme="minorHAnsi"/>
          <w:sz w:val="22"/>
          <w:szCs w:val="22"/>
        </w:rPr>
        <w:t>Updates from lead personnel regarding the progress made and short-term plans for advancing the Healthy Campus Environmental Audit and Healthy Community Index, eB4CAST, the Behavioral Environmental Perceptions Survey, and the Behavioral Environmental Perceptions - Community Survey</w:t>
      </w:r>
    </w:p>
    <w:p w14:paraId="46138EAC" w14:textId="77777777" w:rsidR="000F52CC" w:rsidRPr="000F52CC" w:rsidRDefault="000F52CC" w:rsidP="000F52CC">
      <w:pPr>
        <w:numPr>
          <w:ilvl w:val="0"/>
          <w:numId w:val="14"/>
        </w:numPr>
        <w:rPr>
          <w:rFonts w:cstheme="minorHAnsi"/>
          <w:sz w:val="22"/>
          <w:szCs w:val="22"/>
        </w:rPr>
      </w:pPr>
      <w:r w:rsidRPr="000F52CC">
        <w:rPr>
          <w:rFonts w:cstheme="minorHAnsi"/>
          <w:sz w:val="22"/>
          <w:szCs w:val="22"/>
        </w:rPr>
        <w:t>Impact Writing Workshop: Sara Delheimer from the Multistate Research Fund Impacts Program shared with the group strategies and instruction on crafting effective impact statements. Time was allotted for participants to draft impact statements integrating Sara’s suggestions and feedback.</w:t>
      </w:r>
    </w:p>
    <w:p w14:paraId="775530ED" w14:textId="77777777" w:rsidR="000F52CC" w:rsidRPr="000F52CC" w:rsidRDefault="000F52CC" w:rsidP="000F52CC">
      <w:pPr>
        <w:numPr>
          <w:ilvl w:val="0"/>
          <w:numId w:val="14"/>
        </w:numPr>
        <w:rPr>
          <w:rFonts w:cstheme="minorHAnsi"/>
          <w:sz w:val="22"/>
          <w:szCs w:val="22"/>
        </w:rPr>
      </w:pPr>
      <w:r w:rsidRPr="000F52CC">
        <w:rPr>
          <w:rFonts w:cstheme="minorHAnsi"/>
          <w:sz w:val="22"/>
          <w:szCs w:val="22"/>
        </w:rPr>
        <w:t>Future grants, presentation and publications plans: Group reviewed all grants, abstracts and papers submitted, in progress, and in the pipeline.</w:t>
      </w:r>
    </w:p>
    <w:p w14:paraId="1A42E923" w14:textId="77777777" w:rsidR="000F52CC" w:rsidRPr="000F52CC" w:rsidRDefault="000F52CC" w:rsidP="000F52CC">
      <w:pPr>
        <w:numPr>
          <w:ilvl w:val="0"/>
          <w:numId w:val="14"/>
        </w:numPr>
        <w:rPr>
          <w:rFonts w:cstheme="minorHAnsi"/>
          <w:sz w:val="22"/>
          <w:szCs w:val="22"/>
        </w:rPr>
      </w:pPr>
      <w:r w:rsidRPr="000F52CC">
        <w:rPr>
          <w:rFonts w:cstheme="minorHAnsi"/>
          <w:sz w:val="22"/>
          <w:szCs w:val="22"/>
        </w:rPr>
        <w:t>Review of Organizational Chart and Elections: Officer elections were held and confirmed for 2018-2019 and 2019-2020.</w:t>
      </w:r>
    </w:p>
    <w:p w14:paraId="13F6B311" w14:textId="77777777" w:rsidR="000F52CC" w:rsidRPr="000F52CC" w:rsidRDefault="000F52CC" w:rsidP="000F52CC">
      <w:pPr>
        <w:numPr>
          <w:ilvl w:val="0"/>
          <w:numId w:val="14"/>
        </w:numPr>
        <w:rPr>
          <w:rFonts w:cstheme="minorHAnsi"/>
          <w:sz w:val="22"/>
          <w:szCs w:val="22"/>
        </w:rPr>
      </w:pPr>
      <w:r w:rsidRPr="000F52CC">
        <w:rPr>
          <w:rFonts w:cstheme="minorHAnsi"/>
          <w:sz w:val="22"/>
          <w:szCs w:val="22"/>
        </w:rPr>
        <w:t>Scheduled monthly conference calls and 2019 annual meeting: Monthly conference calls were scheduled from February – August 2018. The 2019 annual meeting date and location was tentatively set.</w:t>
      </w:r>
    </w:p>
    <w:p w14:paraId="4CE5A34E" w14:textId="77777777" w:rsidR="000F52CC" w:rsidRDefault="000F52CC" w:rsidP="000F52CC">
      <w:pPr>
        <w:rPr>
          <w:rFonts w:cstheme="minorHAnsi"/>
          <w:b/>
          <w:sz w:val="22"/>
          <w:szCs w:val="22"/>
        </w:rPr>
      </w:pPr>
    </w:p>
    <w:p w14:paraId="7A40545C" w14:textId="674E9637" w:rsidR="000F52CC" w:rsidRPr="000F52CC" w:rsidRDefault="000F52CC" w:rsidP="000F52CC">
      <w:pPr>
        <w:rPr>
          <w:rFonts w:cstheme="minorHAnsi"/>
          <w:sz w:val="22"/>
          <w:szCs w:val="22"/>
        </w:rPr>
      </w:pPr>
      <w:r w:rsidRPr="000F52CC">
        <w:rPr>
          <w:rFonts w:cstheme="minorHAnsi"/>
          <w:b/>
          <w:sz w:val="22"/>
          <w:szCs w:val="22"/>
        </w:rPr>
        <w:t xml:space="preserve">Accomplishments: </w:t>
      </w:r>
      <w:r w:rsidRPr="000F52CC">
        <w:rPr>
          <w:rFonts w:cstheme="minorHAnsi"/>
          <w:sz w:val="22"/>
          <w:szCs w:val="22"/>
        </w:rPr>
        <w:t>Excessive weight gain is associated with increased risk of developing many serious diseases, including heart disease, diabetes, and high blood pressure, however, programs to address overweight/obesity among communities of young adults are lacking. The NC1193 multistate group is developing tools to assess the healthfulness of college campuses and effectively disseminate information</w:t>
      </w:r>
    </w:p>
    <w:p w14:paraId="10F14EAD" w14:textId="77777777" w:rsidR="000F52CC" w:rsidRPr="000F52CC" w:rsidRDefault="000F52CC" w:rsidP="000F52CC">
      <w:pPr>
        <w:rPr>
          <w:rFonts w:cstheme="minorHAnsi"/>
          <w:sz w:val="22"/>
          <w:szCs w:val="22"/>
        </w:rPr>
        <w:sectPr w:rsidR="000F52CC" w:rsidRPr="000F52CC" w:rsidSect="000F52CC">
          <w:pgSz w:w="12240" w:h="15840"/>
          <w:pgMar w:top="1000" w:right="1080" w:bottom="280" w:left="720" w:header="720" w:footer="720" w:gutter="0"/>
          <w:cols w:space="720"/>
        </w:sectPr>
      </w:pPr>
    </w:p>
    <w:p w14:paraId="14640310" w14:textId="77777777" w:rsidR="000F52CC" w:rsidRPr="000F52CC" w:rsidRDefault="000F52CC" w:rsidP="000F52CC">
      <w:pPr>
        <w:rPr>
          <w:rFonts w:cstheme="minorHAnsi"/>
          <w:sz w:val="22"/>
          <w:szCs w:val="22"/>
        </w:rPr>
      </w:pPr>
      <w:r w:rsidRPr="000F52CC">
        <w:rPr>
          <w:rFonts w:cstheme="minorHAnsi"/>
          <w:sz w:val="22"/>
          <w:szCs w:val="22"/>
        </w:rPr>
        <w:lastRenderedPageBreak/>
        <w:t>that can be used by campus administrators and stakeholders to make changes that support and sustain healthier environments for their students.</w:t>
      </w:r>
    </w:p>
    <w:p w14:paraId="20E3AD14" w14:textId="77777777" w:rsidR="000F52CC" w:rsidRDefault="000F52CC" w:rsidP="000F52CC">
      <w:pPr>
        <w:rPr>
          <w:rFonts w:cstheme="minorHAnsi"/>
          <w:b/>
          <w:sz w:val="22"/>
          <w:szCs w:val="22"/>
        </w:rPr>
      </w:pPr>
    </w:p>
    <w:p w14:paraId="5BD649D6" w14:textId="20B6D3AF" w:rsidR="000F52CC" w:rsidRPr="000F52CC" w:rsidRDefault="000F52CC" w:rsidP="000F52CC">
      <w:pPr>
        <w:rPr>
          <w:rFonts w:cstheme="minorHAnsi"/>
          <w:sz w:val="22"/>
          <w:szCs w:val="22"/>
        </w:rPr>
      </w:pPr>
      <w:r w:rsidRPr="000F52CC">
        <w:rPr>
          <w:rFonts w:cstheme="minorHAnsi"/>
          <w:b/>
          <w:sz w:val="22"/>
          <w:szCs w:val="22"/>
        </w:rPr>
        <w:t xml:space="preserve">Short-term Outcomes: </w:t>
      </w:r>
      <w:r w:rsidRPr="000F52CC">
        <w:rPr>
          <w:rFonts w:cstheme="minorHAnsi"/>
          <w:sz w:val="22"/>
          <w:szCs w:val="22"/>
        </w:rPr>
        <w:t xml:space="preserve">No outcomes to report </w:t>
      </w:r>
      <w:proofErr w:type="gramStart"/>
      <w:r w:rsidRPr="000F52CC">
        <w:rPr>
          <w:rFonts w:cstheme="minorHAnsi"/>
          <w:sz w:val="22"/>
          <w:szCs w:val="22"/>
        </w:rPr>
        <w:t>at this time</w:t>
      </w:r>
      <w:proofErr w:type="gramEnd"/>
      <w:r w:rsidRPr="000F52CC">
        <w:rPr>
          <w:rFonts w:cstheme="minorHAnsi"/>
          <w:sz w:val="22"/>
          <w:szCs w:val="22"/>
        </w:rPr>
        <w:t>.</w:t>
      </w:r>
    </w:p>
    <w:p w14:paraId="43628B90" w14:textId="77777777" w:rsidR="000F52CC" w:rsidRDefault="000F52CC" w:rsidP="000F52CC">
      <w:pPr>
        <w:rPr>
          <w:rFonts w:cstheme="minorHAnsi"/>
          <w:b/>
          <w:sz w:val="22"/>
          <w:szCs w:val="22"/>
        </w:rPr>
      </w:pPr>
    </w:p>
    <w:p w14:paraId="46DB8C74" w14:textId="59739D33" w:rsidR="000F52CC" w:rsidRPr="000F52CC" w:rsidRDefault="000F52CC" w:rsidP="000F52CC">
      <w:pPr>
        <w:rPr>
          <w:rFonts w:cstheme="minorHAnsi"/>
          <w:sz w:val="22"/>
          <w:szCs w:val="22"/>
        </w:rPr>
      </w:pPr>
      <w:r w:rsidRPr="000F52CC">
        <w:rPr>
          <w:rFonts w:cstheme="minorHAnsi"/>
          <w:b/>
          <w:sz w:val="22"/>
          <w:szCs w:val="22"/>
        </w:rPr>
        <w:t xml:space="preserve">Outputs: </w:t>
      </w:r>
      <w:r w:rsidRPr="000F52CC">
        <w:rPr>
          <w:rFonts w:cstheme="minorHAnsi"/>
          <w:sz w:val="22"/>
          <w:szCs w:val="22"/>
        </w:rPr>
        <w:t>The environmental assessments included in the Healthy Campus Environmental Audit have been conducted on over 75 campuses as part of the continued validation of the instruments. The environmental instruments that have been developed are:</w:t>
      </w:r>
    </w:p>
    <w:p w14:paraId="6FA825B0" w14:textId="77777777" w:rsidR="000F52CC" w:rsidRPr="000F52CC" w:rsidRDefault="000F52CC" w:rsidP="000F52CC">
      <w:pPr>
        <w:numPr>
          <w:ilvl w:val="0"/>
          <w:numId w:val="13"/>
        </w:numPr>
        <w:rPr>
          <w:rFonts w:cstheme="minorHAnsi"/>
          <w:sz w:val="22"/>
          <w:szCs w:val="22"/>
        </w:rPr>
      </w:pPr>
      <w:r w:rsidRPr="000F52CC">
        <w:rPr>
          <w:rFonts w:cstheme="minorHAnsi"/>
          <w:b/>
          <w:sz w:val="22"/>
          <w:szCs w:val="22"/>
        </w:rPr>
        <w:t xml:space="preserve">The Full Restaurant Evaluation Supporting a Healthy (FRESH) Dining Environment Audit </w:t>
      </w:r>
      <w:r w:rsidRPr="000F52CC">
        <w:rPr>
          <w:rFonts w:cstheme="minorHAnsi"/>
          <w:sz w:val="22"/>
          <w:szCs w:val="22"/>
        </w:rPr>
        <w:t>evaluates the nutrition environment of dining establishments including restaurants (fast food, sit down, cafes), dining halls, cafeterias, buffets and food courts. The audit evaluates the food and preparation descriptions to determine healthfulness of menu items, rather than a nutrient analysis perspective, and the availability/extensiveness of other supports for making healthy dining decisions.</w:t>
      </w:r>
    </w:p>
    <w:p w14:paraId="20BAD231" w14:textId="77777777" w:rsidR="000F52CC" w:rsidRPr="000F52CC" w:rsidRDefault="000F52CC" w:rsidP="000F52CC">
      <w:pPr>
        <w:numPr>
          <w:ilvl w:val="0"/>
          <w:numId w:val="13"/>
        </w:numPr>
        <w:rPr>
          <w:rFonts w:cstheme="minorHAnsi"/>
          <w:sz w:val="22"/>
          <w:szCs w:val="22"/>
        </w:rPr>
      </w:pPr>
      <w:r w:rsidRPr="000F52CC">
        <w:rPr>
          <w:rFonts w:cstheme="minorHAnsi"/>
          <w:b/>
          <w:sz w:val="22"/>
          <w:szCs w:val="22"/>
        </w:rPr>
        <w:t xml:space="preserve">The Convenience Store Supporting Healthy Environment for Life-promoting Food (SHELF) Audit </w:t>
      </w:r>
      <w:r w:rsidRPr="000F52CC">
        <w:rPr>
          <w:rFonts w:cstheme="minorHAnsi"/>
          <w:sz w:val="22"/>
          <w:szCs w:val="22"/>
        </w:rPr>
        <w:t>evaluates the healthfulness of the food store environment of convenience stores, drug stores, dollar/discount stores, mini-marts, bodegas/corner stores, and food carts. The audit evaluates the presence of healthier foods and the availability/extensiveness of other environmental supports for making healthy food purchasing decisions.</w:t>
      </w:r>
    </w:p>
    <w:p w14:paraId="3A1E6204" w14:textId="77777777" w:rsidR="000F52CC" w:rsidRPr="000F52CC" w:rsidRDefault="000F52CC" w:rsidP="000F52CC">
      <w:pPr>
        <w:numPr>
          <w:ilvl w:val="0"/>
          <w:numId w:val="13"/>
        </w:numPr>
        <w:rPr>
          <w:rFonts w:cstheme="minorHAnsi"/>
          <w:sz w:val="22"/>
          <w:szCs w:val="22"/>
        </w:rPr>
      </w:pPr>
      <w:r w:rsidRPr="000F52CC">
        <w:rPr>
          <w:rFonts w:cstheme="minorHAnsi"/>
          <w:b/>
          <w:sz w:val="22"/>
          <w:szCs w:val="22"/>
        </w:rPr>
        <w:t>Healthfulness Vending Evaluation for Nutrient-Density (</w:t>
      </w:r>
      <w:proofErr w:type="spellStart"/>
      <w:r w:rsidRPr="000F52CC">
        <w:rPr>
          <w:rFonts w:cstheme="minorHAnsi"/>
          <w:b/>
          <w:sz w:val="22"/>
          <w:szCs w:val="22"/>
        </w:rPr>
        <w:t>VENDing</w:t>
      </w:r>
      <w:proofErr w:type="spellEnd"/>
      <w:r w:rsidRPr="000F52CC">
        <w:rPr>
          <w:rFonts w:cstheme="minorHAnsi"/>
          <w:b/>
          <w:sz w:val="22"/>
          <w:szCs w:val="22"/>
        </w:rPr>
        <w:t xml:space="preserve">) Audit </w:t>
      </w:r>
      <w:r w:rsidRPr="000F52CC">
        <w:rPr>
          <w:rFonts w:cstheme="minorHAnsi"/>
          <w:sz w:val="22"/>
          <w:szCs w:val="22"/>
        </w:rPr>
        <w:t>evaluates the nutrition environment of vending machines (snack, beverage and prepared foods) using nutrient density healthfulness scores and the availability of environmental supports for making healthy vending purchase decisions.</w:t>
      </w:r>
    </w:p>
    <w:p w14:paraId="3AA3007B" w14:textId="77777777" w:rsidR="000F52CC" w:rsidRPr="000F52CC" w:rsidRDefault="000F52CC" w:rsidP="000F52CC">
      <w:pPr>
        <w:numPr>
          <w:ilvl w:val="0"/>
          <w:numId w:val="13"/>
        </w:numPr>
        <w:rPr>
          <w:rFonts w:cstheme="minorHAnsi"/>
          <w:sz w:val="22"/>
          <w:szCs w:val="22"/>
        </w:rPr>
      </w:pPr>
      <w:r w:rsidRPr="000F52CC">
        <w:rPr>
          <w:rFonts w:cstheme="minorHAnsi"/>
          <w:b/>
          <w:sz w:val="22"/>
          <w:szCs w:val="22"/>
        </w:rPr>
        <w:t xml:space="preserve">Physical Activity Campus Environmental Supports (PACES) Audit </w:t>
      </w:r>
      <w:r w:rsidRPr="000F52CC">
        <w:rPr>
          <w:rFonts w:cstheme="minorHAnsi"/>
          <w:sz w:val="22"/>
          <w:szCs w:val="22"/>
        </w:rPr>
        <w:t xml:space="preserve">evaluates the recreation facilities and programs for a campus </w:t>
      </w:r>
      <w:proofErr w:type="gramStart"/>
      <w:r w:rsidRPr="000F52CC">
        <w:rPr>
          <w:rFonts w:cstheme="minorHAnsi"/>
          <w:sz w:val="22"/>
          <w:szCs w:val="22"/>
        </w:rPr>
        <w:t>environment</w:t>
      </w:r>
      <w:proofErr w:type="gramEnd"/>
      <w:r w:rsidRPr="000F52CC">
        <w:rPr>
          <w:rFonts w:cstheme="minorHAnsi"/>
          <w:sz w:val="22"/>
          <w:szCs w:val="22"/>
        </w:rPr>
        <w:t xml:space="preserve"> and the availability and extensiveness of the environmental physical activity supports.</w:t>
      </w:r>
    </w:p>
    <w:p w14:paraId="1A563E09" w14:textId="77777777" w:rsidR="000F52CC" w:rsidRPr="000F52CC" w:rsidRDefault="000F52CC" w:rsidP="000F52CC">
      <w:pPr>
        <w:numPr>
          <w:ilvl w:val="0"/>
          <w:numId w:val="13"/>
        </w:numPr>
        <w:rPr>
          <w:rFonts w:cstheme="minorHAnsi"/>
          <w:sz w:val="22"/>
          <w:szCs w:val="22"/>
        </w:rPr>
      </w:pPr>
      <w:r w:rsidRPr="000F52CC">
        <w:rPr>
          <w:rFonts w:cstheme="minorHAnsi"/>
          <w:b/>
          <w:sz w:val="22"/>
          <w:szCs w:val="22"/>
        </w:rPr>
        <w:t xml:space="preserve">Sneakers and Spokes Walkability/Bike-ability Audit </w:t>
      </w:r>
      <w:r w:rsidRPr="000F52CC">
        <w:rPr>
          <w:rFonts w:cstheme="minorHAnsi"/>
          <w:sz w:val="22"/>
          <w:szCs w:val="22"/>
        </w:rPr>
        <w:t>is adapted from the Centers for Disease Control and Prevention's (CDC's) Healthier Worksite Initiative Walkability Audit and evaluates the safety and quality features of walking/biking path segments on a campus.</w:t>
      </w:r>
    </w:p>
    <w:p w14:paraId="7996A074" w14:textId="77777777" w:rsidR="000F52CC" w:rsidRPr="000F52CC" w:rsidRDefault="000F52CC" w:rsidP="000F52CC">
      <w:pPr>
        <w:numPr>
          <w:ilvl w:val="0"/>
          <w:numId w:val="13"/>
        </w:numPr>
        <w:rPr>
          <w:rFonts w:cstheme="minorHAnsi"/>
          <w:sz w:val="22"/>
          <w:szCs w:val="22"/>
        </w:rPr>
      </w:pPr>
      <w:r w:rsidRPr="000F52CC">
        <w:rPr>
          <w:rFonts w:cstheme="minorHAnsi"/>
          <w:b/>
          <w:sz w:val="22"/>
          <w:szCs w:val="22"/>
        </w:rPr>
        <w:t xml:space="preserve">Healthy Environment Policies, Opportunities, Initiatives, Notable Topics Survey (POINTS) Audit </w:t>
      </w:r>
      <w:r w:rsidRPr="000F52CC">
        <w:rPr>
          <w:rFonts w:cstheme="minorHAnsi"/>
          <w:sz w:val="22"/>
          <w:szCs w:val="22"/>
        </w:rPr>
        <w:t>evaluates and benchmarks the extensiveness and quality of health promotion/obesity prevention initiatives/interventions, programs, resolutions/pledges and policies for a campus environment. The audit surveys campus professionals with expertise who categorize the extensiveness of each health promotion/obesity prevention topic rather than recording/evaluating every specific initiative/program in the environment.</w:t>
      </w:r>
    </w:p>
    <w:p w14:paraId="22968365" w14:textId="77777777" w:rsidR="000F52CC" w:rsidRPr="000F52CC" w:rsidRDefault="000F52CC" w:rsidP="000F52CC">
      <w:pPr>
        <w:numPr>
          <w:ilvl w:val="0"/>
          <w:numId w:val="13"/>
        </w:numPr>
        <w:rPr>
          <w:rFonts w:cstheme="minorHAnsi"/>
          <w:sz w:val="22"/>
          <w:szCs w:val="22"/>
        </w:rPr>
      </w:pPr>
      <w:r w:rsidRPr="000F52CC">
        <w:rPr>
          <w:rFonts w:cstheme="minorHAnsi"/>
          <w:b/>
          <w:sz w:val="22"/>
          <w:szCs w:val="22"/>
        </w:rPr>
        <w:t xml:space="preserve">Campus Environment Demographics Audit </w:t>
      </w:r>
      <w:r w:rsidRPr="000F52CC">
        <w:rPr>
          <w:rFonts w:cstheme="minorHAnsi"/>
          <w:sz w:val="22"/>
          <w:szCs w:val="22"/>
        </w:rPr>
        <w:t>tracks the geographic, demographic and environmental variables necessary to describe, modify and compare campus results.</w:t>
      </w:r>
    </w:p>
    <w:p w14:paraId="70AA658E" w14:textId="77777777" w:rsidR="000F52CC" w:rsidRDefault="000F52CC" w:rsidP="000F52CC">
      <w:pPr>
        <w:rPr>
          <w:rFonts w:cstheme="minorHAnsi"/>
          <w:b/>
          <w:bCs/>
          <w:sz w:val="22"/>
          <w:szCs w:val="22"/>
        </w:rPr>
      </w:pPr>
    </w:p>
    <w:p w14:paraId="033B79E9" w14:textId="3690EB94" w:rsidR="000F52CC" w:rsidRPr="000F52CC" w:rsidRDefault="000F52CC" w:rsidP="000F52CC">
      <w:pPr>
        <w:rPr>
          <w:rFonts w:cstheme="minorHAnsi"/>
          <w:b/>
          <w:bCs/>
          <w:sz w:val="22"/>
          <w:szCs w:val="22"/>
        </w:rPr>
      </w:pPr>
      <w:r w:rsidRPr="000F52CC">
        <w:rPr>
          <w:rFonts w:cstheme="minorHAnsi"/>
          <w:b/>
          <w:bCs/>
          <w:sz w:val="22"/>
          <w:szCs w:val="22"/>
        </w:rPr>
        <w:t>Activities:</w:t>
      </w:r>
    </w:p>
    <w:p w14:paraId="1BC0864F" w14:textId="77777777" w:rsidR="000F52CC" w:rsidRPr="000F52CC" w:rsidRDefault="000F52CC" w:rsidP="000F52CC">
      <w:pPr>
        <w:numPr>
          <w:ilvl w:val="0"/>
          <w:numId w:val="13"/>
        </w:numPr>
        <w:rPr>
          <w:rFonts w:cstheme="minorHAnsi"/>
          <w:sz w:val="22"/>
          <w:szCs w:val="22"/>
        </w:rPr>
      </w:pPr>
      <w:r w:rsidRPr="000F52CC">
        <w:rPr>
          <w:rFonts w:cstheme="minorHAnsi"/>
          <w:sz w:val="22"/>
          <w:szCs w:val="22"/>
        </w:rPr>
        <w:t>The eB4CAST dissemination tool was refined over the past year via cognitive interviews and expert review. The tool was tested at 75 college campuses and 6 high school sites.</w:t>
      </w:r>
    </w:p>
    <w:p w14:paraId="43ED540D" w14:textId="77777777" w:rsidR="000F52CC" w:rsidRPr="000F52CC" w:rsidRDefault="000F52CC" w:rsidP="000F52CC">
      <w:pPr>
        <w:numPr>
          <w:ilvl w:val="0"/>
          <w:numId w:val="13"/>
        </w:numPr>
        <w:rPr>
          <w:rFonts w:cstheme="minorHAnsi"/>
          <w:sz w:val="22"/>
          <w:szCs w:val="22"/>
        </w:rPr>
      </w:pPr>
      <w:r w:rsidRPr="000F52CC">
        <w:rPr>
          <w:rFonts w:cstheme="minorHAnsi"/>
          <w:sz w:val="22"/>
          <w:szCs w:val="22"/>
        </w:rPr>
        <w:t>The seven components of the Healthy Campus Environmental Audit were tested against validated tools at all multistate partner campuses.</w:t>
      </w:r>
    </w:p>
    <w:p w14:paraId="02BE4EEB" w14:textId="77777777" w:rsidR="000F52CC" w:rsidRPr="000F52CC" w:rsidRDefault="000F52CC" w:rsidP="000F52CC">
      <w:pPr>
        <w:numPr>
          <w:ilvl w:val="0"/>
          <w:numId w:val="13"/>
        </w:numPr>
        <w:rPr>
          <w:rFonts w:cstheme="minorHAnsi"/>
          <w:sz w:val="22"/>
          <w:szCs w:val="22"/>
        </w:rPr>
      </w:pPr>
      <w:r w:rsidRPr="000F52CC">
        <w:rPr>
          <w:rFonts w:cstheme="minorHAnsi"/>
          <w:sz w:val="22"/>
          <w:szCs w:val="22"/>
        </w:rPr>
        <w:t>Instead of adapting the Behavior Environment Perceptions Survey for low-income communities, plans to create a new instrument appropriate to the target audience have been formulated.</w:t>
      </w:r>
    </w:p>
    <w:p w14:paraId="262AC11B" w14:textId="77777777" w:rsidR="000F52CC" w:rsidRDefault="000F52CC" w:rsidP="000F52CC">
      <w:pPr>
        <w:rPr>
          <w:rFonts w:cstheme="minorHAnsi"/>
          <w:b/>
          <w:sz w:val="22"/>
          <w:szCs w:val="22"/>
        </w:rPr>
      </w:pPr>
    </w:p>
    <w:p w14:paraId="59E638D4" w14:textId="5406DBCA" w:rsidR="000F52CC" w:rsidRPr="000F52CC" w:rsidRDefault="000F52CC" w:rsidP="000F52CC">
      <w:pPr>
        <w:rPr>
          <w:rFonts w:cstheme="minorHAnsi"/>
          <w:sz w:val="22"/>
          <w:szCs w:val="22"/>
        </w:rPr>
      </w:pPr>
      <w:r w:rsidRPr="000F52CC">
        <w:rPr>
          <w:rFonts w:cstheme="minorHAnsi"/>
          <w:b/>
          <w:sz w:val="22"/>
          <w:szCs w:val="22"/>
        </w:rPr>
        <w:t xml:space="preserve">Milestones: </w:t>
      </w:r>
      <w:r w:rsidRPr="000F52CC">
        <w:rPr>
          <w:rFonts w:cstheme="minorHAnsi"/>
          <w:sz w:val="22"/>
          <w:szCs w:val="22"/>
        </w:rPr>
        <w:t xml:space="preserve">In Year 2 (2017-18) of this 5-year project, implementation and dissemination efforts </w:t>
      </w:r>
      <w:proofErr w:type="gramStart"/>
      <w:r w:rsidRPr="000F52CC">
        <w:rPr>
          <w:rFonts w:cstheme="minorHAnsi"/>
          <w:sz w:val="22"/>
          <w:szCs w:val="22"/>
        </w:rPr>
        <w:t>continue on</w:t>
      </w:r>
      <w:proofErr w:type="gramEnd"/>
      <w:r w:rsidRPr="000F52CC">
        <w:rPr>
          <w:rFonts w:cstheme="minorHAnsi"/>
          <w:sz w:val="22"/>
          <w:szCs w:val="22"/>
        </w:rPr>
        <w:t xml:space="preserve"> the eB4CAST tool to benchmark community-programing efforts and their effectiveness in change and sustainability, the revised Behavioral Environmental Perceptions Survey will be administered, and the Behavioral Environmental Perceptions-Community Survey will be developed.</w:t>
      </w:r>
    </w:p>
    <w:p w14:paraId="701F0457" w14:textId="77777777" w:rsidR="000F52CC" w:rsidRPr="000F52CC" w:rsidRDefault="000F52CC" w:rsidP="000F52CC">
      <w:pPr>
        <w:rPr>
          <w:rFonts w:cstheme="minorHAnsi"/>
          <w:sz w:val="22"/>
          <w:szCs w:val="22"/>
        </w:rPr>
      </w:pPr>
      <w:r w:rsidRPr="000F52CC">
        <w:rPr>
          <w:rFonts w:cstheme="minorHAnsi"/>
          <w:b/>
          <w:sz w:val="22"/>
          <w:szCs w:val="22"/>
        </w:rPr>
        <w:t xml:space="preserve">Impacts: </w:t>
      </w:r>
      <w:r w:rsidRPr="000F52CC">
        <w:rPr>
          <w:rFonts w:cstheme="minorHAnsi"/>
          <w:sz w:val="22"/>
          <w:szCs w:val="22"/>
        </w:rPr>
        <w:t>Healthy diet and exercise habits help people manage their weight and prevent chronic diseases, but people can only make healthy choices if their surroundings provide easy, affordable</w:t>
      </w:r>
    </w:p>
    <w:p w14:paraId="70F680F4" w14:textId="77777777" w:rsidR="000F52CC" w:rsidRPr="000F52CC" w:rsidRDefault="000F52CC" w:rsidP="000F52CC">
      <w:pPr>
        <w:rPr>
          <w:rFonts w:cstheme="minorHAnsi"/>
          <w:sz w:val="22"/>
          <w:szCs w:val="22"/>
        </w:rPr>
        <w:sectPr w:rsidR="000F52CC" w:rsidRPr="000F52CC" w:rsidSect="000F52CC">
          <w:pgSz w:w="12240" w:h="15840"/>
          <w:pgMar w:top="1000" w:right="1080" w:bottom="280" w:left="720" w:header="720" w:footer="720" w:gutter="0"/>
          <w:cols w:space="720"/>
        </w:sectPr>
      </w:pPr>
    </w:p>
    <w:p w14:paraId="3BBDFA84" w14:textId="77777777" w:rsidR="000F52CC" w:rsidRPr="000F52CC" w:rsidRDefault="000F52CC" w:rsidP="000F52CC">
      <w:pPr>
        <w:rPr>
          <w:rFonts w:cstheme="minorHAnsi"/>
          <w:sz w:val="22"/>
          <w:szCs w:val="22"/>
        </w:rPr>
      </w:pPr>
      <w:r w:rsidRPr="000F52CC">
        <w:rPr>
          <w:rFonts w:cstheme="minorHAnsi"/>
          <w:sz w:val="22"/>
          <w:szCs w:val="22"/>
        </w:rPr>
        <w:lastRenderedPageBreak/>
        <w:t xml:space="preserve">healthy options. To help communities pinpoint changes that will provide and encourage healthier habits, the NC1193 research team developed the Healthy Community Audit, which evaluates the food choices at local dining options, vending machines, and grocery and convenience stores, walkability and </w:t>
      </w:r>
      <w:proofErr w:type="spellStart"/>
      <w:r w:rsidRPr="000F52CC">
        <w:rPr>
          <w:rFonts w:cstheme="minorHAnsi"/>
          <w:sz w:val="22"/>
          <w:szCs w:val="22"/>
        </w:rPr>
        <w:t>bikeability</w:t>
      </w:r>
      <w:proofErr w:type="spellEnd"/>
      <w:r w:rsidRPr="000F52CC">
        <w:rPr>
          <w:rFonts w:cstheme="minorHAnsi"/>
          <w:sz w:val="22"/>
          <w:szCs w:val="22"/>
        </w:rPr>
        <w:t>, recreation facilities and programs, and policies, and the Healthy Community Index, which tracks and compares audit scores. So far, 75 communities have used these new tools and have gained knowledge related to their campus’ policies and ways to improve their food and physical activity environments. These changes make healthy habits an easier, more sustainable choice for more people.</w:t>
      </w:r>
    </w:p>
    <w:p w14:paraId="024066C2" w14:textId="77777777" w:rsidR="000F52CC" w:rsidRPr="000F52CC" w:rsidRDefault="000F52CC" w:rsidP="000F52CC">
      <w:pPr>
        <w:rPr>
          <w:rFonts w:cstheme="minorHAnsi"/>
          <w:sz w:val="22"/>
          <w:szCs w:val="22"/>
        </w:rPr>
      </w:pPr>
      <w:r w:rsidRPr="000F52CC">
        <w:rPr>
          <w:rFonts w:cstheme="minorHAnsi"/>
          <w:sz w:val="22"/>
          <w:szCs w:val="22"/>
        </w:rPr>
        <w:t>Good health means better quality of life, reduced healthcare costs, and an able workforce in communities across the U.S.</w:t>
      </w:r>
    </w:p>
    <w:p w14:paraId="7BB2DAEB" w14:textId="77777777" w:rsidR="000F52CC" w:rsidRPr="000F52CC" w:rsidRDefault="000F52CC" w:rsidP="000F52CC">
      <w:pPr>
        <w:rPr>
          <w:rFonts w:cstheme="minorHAnsi"/>
          <w:sz w:val="22"/>
          <w:szCs w:val="22"/>
        </w:rPr>
      </w:pPr>
    </w:p>
    <w:p w14:paraId="17855D4A" w14:textId="77777777" w:rsidR="000F52CC" w:rsidRPr="000F52CC" w:rsidRDefault="000F52CC" w:rsidP="000F52CC">
      <w:pPr>
        <w:rPr>
          <w:rFonts w:cstheme="minorHAnsi"/>
          <w:b/>
          <w:bCs/>
          <w:sz w:val="22"/>
          <w:szCs w:val="22"/>
        </w:rPr>
      </w:pPr>
      <w:r w:rsidRPr="000F52CC">
        <w:rPr>
          <w:rFonts w:cstheme="minorHAnsi"/>
          <w:b/>
          <w:bCs/>
          <w:sz w:val="22"/>
          <w:szCs w:val="22"/>
        </w:rPr>
        <w:t>Publications:</w:t>
      </w:r>
    </w:p>
    <w:p w14:paraId="7258AA49" w14:textId="77777777" w:rsidR="000F52CC" w:rsidRPr="000F52CC" w:rsidRDefault="000F52CC" w:rsidP="000F52CC">
      <w:pPr>
        <w:rPr>
          <w:rFonts w:cstheme="minorHAnsi"/>
          <w:sz w:val="22"/>
          <w:szCs w:val="22"/>
        </w:rPr>
      </w:pPr>
      <w:r w:rsidRPr="000F52CC">
        <w:rPr>
          <w:rFonts w:cstheme="minorHAnsi"/>
          <w:sz w:val="22"/>
          <w:szCs w:val="22"/>
        </w:rPr>
        <w:t xml:space="preserve">Sowers MF, Colby S, Greene GW, Pickett M, Franzen-Castle L, Olfert MD, Shelnutt K, Brown O, Horacek TM, Kidd T, Kattelmann KK, White AA, Zhou W, Riggsbee K, Yan W, Byrd-Bredbenner C. Survey Development to Assess College Students' Perceptions of the Campus Environment. </w:t>
      </w:r>
      <w:r w:rsidRPr="000F52CC">
        <w:rPr>
          <w:rFonts w:cstheme="minorHAnsi"/>
          <w:i/>
          <w:sz w:val="22"/>
          <w:szCs w:val="22"/>
        </w:rPr>
        <w:t xml:space="preserve">Am J Health </w:t>
      </w:r>
      <w:proofErr w:type="spellStart"/>
      <w:r w:rsidRPr="000F52CC">
        <w:rPr>
          <w:rFonts w:cstheme="minorHAnsi"/>
          <w:i/>
          <w:sz w:val="22"/>
          <w:szCs w:val="22"/>
        </w:rPr>
        <w:t>Behav</w:t>
      </w:r>
      <w:proofErr w:type="spellEnd"/>
      <w:r w:rsidRPr="000F52CC">
        <w:rPr>
          <w:rFonts w:cstheme="minorHAnsi"/>
          <w:i/>
          <w:sz w:val="22"/>
          <w:szCs w:val="22"/>
        </w:rPr>
        <w:t xml:space="preserve"> </w:t>
      </w:r>
      <w:r w:rsidRPr="000F52CC">
        <w:rPr>
          <w:rFonts w:cstheme="minorHAnsi"/>
          <w:sz w:val="22"/>
          <w:szCs w:val="22"/>
        </w:rPr>
        <w:t xml:space="preserve">2017; 41(6):701-709 </w:t>
      </w:r>
      <w:hyperlink r:id="rId17">
        <w:r w:rsidRPr="000F52CC">
          <w:rPr>
            <w:rStyle w:val="Hyperlink"/>
            <w:rFonts w:cstheme="minorHAnsi"/>
            <w:sz w:val="22"/>
            <w:szCs w:val="22"/>
          </w:rPr>
          <w:t>https://doi.org/10.5993/AJHB.41.6.4.</w:t>
        </w:r>
      </w:hyperlink>
    </w:p>
    <w:p w14:paraId="4E899A85" w14:textId="77777777" w:rsidR="000F52CC" w:rsidRPr="000F52CC" w:rsidRDefault="000F52CC" w:rsidP="000F52CC">
      <w:pPr>
        <w:rPr>
          <w:rFonts w:cstheme="minorHAnsi"/>
          <w:sz w:val="22"/>
          <w:szCs w:val="22"/>
        </w:rPr>
      </w:pPr>
      <w:r w:rsidRPr="000F52CC">
        <w:rPr>
          <w:rFonts w:cstheme="minorHAnsi"/>
          <w:sz w:val="22"/>
          <w:szCs w:val="22"/>
        </w:rPr>
        <w:t xml:space="preserve">Vilaro M, Zhou W, Colby SE, Riggsbee K, Byrd-Bredbenner, Olfert MD, Barnett TE, Mathews AE. Development and Preliminary Testing of the Food Choice Priorities Survey (FCPS): Assessing the Importance of Multiple Factors on College Students’ Food Choices. Evaluation &amp; the Health Professions 2017; 40(4): 425-449 </w:t>
      </w:r>
      <w:hyperlink r:id="rId18">
        <w:r w:rsidRPr="000F52CC">
          <w:rPr>
            <w:rStyle w:val="Hyperlink"/>
            <w:rFonts w:cstheme="minorHAnsi"/>
            <w:sz w:val="22"/>
            <w:szCs w:val="22"/>
          </w:rPr>
          <w:t>https://doi.org/10.1177/0163278717735872</w:t>
        </w:r>
      </w:hyperlink>
    </w:p>
    <w:p w14:paraId="0FF9BEA8" w14:textId="77777777" w:rsidR="000F52CC" w:rsidRPr="000F52CC" w:rsidRDefault="000F52CC" w:rsidP="000F52CC">
      <w:pPr>
        <w:rPr>
          <w:rFonts w:cstheme="minorHAnsi"/>
          <w:sz w:val="22"/>
          <w:szCs w:val="22"/>
        </w:rPr>
      </w:pPr>
    </w:p>
    <w:p w14:paraId="7B13DA71" w14:textId="77777777" w:rsidR="000F52CC" w:rsidRPr="000F52CC" w:rsidRDefault="000F52CC" w:rsidP="000F52CC">
      <w:pPr>
        <w:rPr>
          <w:rFonts w:cstheme="minorHAnsi"/>
          <w:sz w:val="22"/>
          <w:szCs w:val="22"/>
        </w:rPr>
      </w:pPr>
      <w:r w:rsidRPr="000F52CC">
        <w:rPr>
          <w:rFonts w:cstheme="minorHAnsi"/>
          <w:sz w:val="22"/>
          <w:szCs w:val="22"/>
        </w:rPr>
        <w:t xml:space="preserve">Colby S, Zhou W, Sowers M, Shelnutt K, Olfert M, Morrell J, Koenings M, Kidd T, Horacek T, Greene G, Brown O, White A, Hoerr S, Byrd-Bredbenner C, Kattelmann K. College Students' Health Behavior Clusters: Differences by Sex. </w:t>
      </w:r>
      <w:r w:rsidRPr="000F52CC">
        <w:rPr>
          <w:rFonts w:cstheme="minorHAnsi"/>
          <w:i/>
          <w:sz w:val="22"/>
          <w:szCs w:val="22"/>
        </w:rPr>
        <w:t xml:space="preserve">Am J Health </w:t>
      </w:r>
      <w:proofErr w:type="spellStart"/>
      <w:r w:rsidRPr="000F52CC">
        <w:rPr>
          <w:rFonts w:cstheme="minorHAnsi"/>
          <w:i/>
          <w:sz w:val="22"/>
          <w:szCs w:val="22"/>
        </w:rPr>
        <w:t>Behav</w:t>
      </w:r>
      <w:proofErr w:type="spellEnd"/>
      <w:r w:rsidRPr="000F52CC">
        <w:rPr>
          <w:rFonts w:cstheme="minorHAnsi"/>
          <w:i/>
          <w:sz w:val="22"/>
          <w:szCs w:val="22"/>
        </w:rPr>
        <w:t xml:space="preserve"> </w:t>
      </w:r>
      <w:r w:rsidRPr="000F52CC">
        <w:rPr>
          <w:rFonts w:cstheme="minorHAnsi"/>
          <w:sz w:val="22"/>
          <w:szCs w:val="22"/>
        </w:rPr>
        <w:t xml:space="preserve">2017;41(4):378-389 </w:t>
      </w:r>
      <w:hyperlink r:id="rId19">
        <w:r w:rsidRPr="000F52CC">
          <w:rPr>
            <w:rStyle w:val="Hyperlink"/>
            <w:rFonts w:cstheme="minorHAnsi"/>
            <w:sz w:val="22"/>
            <w:szCs w:val="22"/>
          </w:rPr>
          <w:t>https://doi.org/10.5993/AJHB.41.4.2</w:t>
        </w:r>
      </w:hyperlink>
    </w:p>
    <w:p w14:paraId="43B00FB8" w14:textId="77777777" w:rsidR="000F52CC" w:rsidRPr="000F52CC" w:rsidRDefault="000F52CC" w:rsidP="000F52CC">
      <w:pPr>
        <w:rPr>
          <w:rFonts w:cstheme="minorHAnsi"/>
          <w:sz w:val="22"/>
          <w:szCs w:val="22"/>
        </w:rPr>
      </w:pPr>
    </w:p>
    <w:p w14:paraId="5457EA9F" w14:textId="77777777" w:rsidR="000F52CC" w:rsidRPr="000F52CC" w:rsidRDefault="000F52CC" w:rsidP="000F52CC">
      <w:pPr>
        <w:rPr>
          <w:rFonts w:cstheme="minorHAnsi"/>
          <w:sz w:val="22"/>
          <w:szCs w:val="22"/>
        </w:rPr>
      </w:pPr>
      <w:r w:rsidRPr="000F52CC">
        <w:rPr>
          <w:rFonts w:cstheme="minorHAnsi"/>
          <w:sz w:val="22"/>
          <w:szCs w:val="22"/>
        </w:rPr>
        <w:t xml:space="preserve">Loso J, Staub D, Colby SE, Olfert MD, Kattelmann K, Vilaro M, Colee J, Zhou W, Franzen-Castle L, Mathews AE. Gardening Experience Is Associated with Increased Fruit and Vegetable Intake among First-Year College Students: A Cross-Sectional Examination. </w:t>
      </w:r>
      <w:r w:rsidRPr="000F52CC">
        <w:rPr>
          <w:rFonts w:cstheme="minorHAnsi"/>
          <w:i/>
          <w:sz w:val="22"/>
          <w:szCs w:val="22"/>
        </w:rPr>
        <w:t xml:space="preserve">J Acad </w:t>
      </w:r>
      <w:proofErr w:type="spellStart"/>
      <w:r w:rsidRPr="000F52CC">
        <w:rPr>
          <w:rFonts w:cstheme="minorHAnsi"/>
          <w:i/>
          <w:sz w:val="22"/>
          <w:szCs w:val="22"/>
        </w:rPr>
        <w:t>Nutr</w:t>
      </w:r>
      <w:proofErr w:type="spellEnd"/>
      <w:r w:rsidRPr="000F52CC">
        <w:rPr>
          <w:rFonts w:cstheme="minorHAnsi"/>
          <w:i/>
          <w:sz w:val="22"/>
          <w:szCs w:val="22"/>
        </w:rPr>
        <w:t xml:space="preserve"> Diet </w:t>
      </w:r>
      <w:r w:rsidRPr="000F52CC">
        <w:rPr>
          <w:rFonts w:cstheme="minorHAnsi"/>
          <w:sz w:val="22"/>
          <w:szCs w:val="22"/>
        </w:rPr>
        <w:t>2018 118(2):275-283. DOI: 10.1016/j.jand.2017.09.005</w:t>
      </w:r>
    </w:p>
    <w:p w14:paraId="4BD0BB5D" w14:textId="77777777" w:rsidR="000F52CC" w:rsidRPr="000F52CC" w:rsidRDefault="000F52CC" w:rsidP="000F52CC">
      <w:pPr>
        <w:rPr>
          <w:rFonts w:cstheme="minorHAnsi"/>
          <w:sz w:val="22"/>
          <w:szCs w:val="22"/>
        </w:rPr>
      </w:pPr>
    </w:p>
    <w:p w14:paraId="21B0C451" w14:textId="77777777" w:rsidR="000F52CC" w:rsidRPr="000F52CC" w:rsidRDefault="000F52CC" w:rsidP="000F52CC">
      <w:pPr>
        <w:rPr>
          <w:rFonts w:cstheme="minorHAnsi"/>
          <w:sz w:val="22"/>
          <w:szCs w:val="22"/>
        </w:rPr>
      </w:pPr>
      <w:r w:rsidRPr="000F52CC">
        <w:rPr>
          <w:rFonts w:cstheme="minorHAnsi"/>
          <w:sz w:val="22"/>
          <w:szCs w:val="22"/>
        </w:rPr>
        <w:t xml:space="preserve">Horacek TM, Yildirim ED, Simon MB, Byrd-Bredbenner C, White AA, Shelnutt KP, Olfert MD, Morrell J, Mathews A, Kidd, Kidd T, Kattelmann </w:t>
      </w:r>
      <w:proofErr w:type="gramStart"/>
      <w:r w:rsidRPr="000F52CC">
        <w:rPr>
          <w:rFonts w:cstheme="minorHAnsi"/>
          <w:sz w:val="22"/>
          <w:szCs w:val="22"/>
        </w:rPr>
        <w:t>K ,</w:t>
      </w:r>
      <w:proofErr w:type="gramEnd"/>
      <w:r w:rsidRPr="000F52CC">
        <w:rPr>
          <w:rFonts w:cstheme="minorHAnsi"/>
          <w:sz w:val="22"/>
          <w:szCs w:val="22"/>
        </w:rPr>
        <w:t xml:space="preserve"> Franzen-Castle L, Colby S, Brown</w:t>
      </w:r>
    </w:p>
    <w:p w14:paraId="15680FA0" w14:textId="77777777" w:rsidR="000F52CC" w:rsidRPr="000F52CC" w:rsidRDefault="000F52CC" w:rsidP="000F52CC">
      <w:pPr>
        <w:rPr>
          <w:rFonts w:cstheme="minorHAnsi"/>
          <w:sz w:val="22"/>
          <w:szCs w:val="22"/>
        </w:rPr>
      </w:pPr>
      <w:r w:rsidRPr="000F52CC">
        <w:rPr>
          <w:rFonts w:cstheme="minorHAnsi"/>
          <w:sz w:val="22"/>
          <w:szCs w:val="22"/>
        </w:rPr>
        <w:t>O. Development and Validation of the Full Restaurant Evaluation Supporting a Healthy (FRESH)</w:t>
      </w:r>
    </w:p>
    <w:p w14:paraId="542C2971" w14:textId="77777777" w:rsidR="000F52CC" w:rsidRPr="000F52CC" w:rsidRDefault="000F52CC" w:rsidP="000F52CC">
      <w:pPr>
        <w:rPr>
          <w:rFonts w:cstheme="minorHAnsi"/>
          <w:sz w:val="22"/>
          <w:szCs w:val="22"/>
        </w:rPr>
      </w:pPr>
      <w:r w:rsidRPr="000F52CC">
        <w:rPr>
          <w:rFonts w:cstheme="minorHAnsi"/>
          <w:sz w:val="22"/>
          <w:szCs w:val="22"/>
        </w:rPr>
        <w:t xml:space="preserve">Dining Environment Audit. </w:t>
      </w:r>
      <w:r w:rsidRPr="000F52CC">
        <w:rPr>
          <w:rFonts w:cstheme="minorHAnsi"/>
          <w:i/>
          <w:sz w:val="22"/>
          <w:szCs w:val="22"/>
        </w:rPr>
        <w:t xml:space="preserve">J Hunger Environ </w:t>
      </w:r>
      <w:proofErr w:type="spellStart"/>
      <w:r w:rsidRPr="000F52CC">
        <w:rPr>
          <w:rFonts w:cstheme="minorHAnsi"/>
          <w:i/>
          <w:sz w:val="22"/>
          <w:szCs w:val="22"/>
        </w:rPr>
        <w:t>Nutr</w:t>
      </w:r>
      <w:proofErr w:type="spellEnd"/>
      <w:r w:rsidRPr="000F52CC">
        <w:rPr>
          <w:rFonts w:cstheme="minorHAnsi"/>
          <w:i/>
          <w:sz w:val="22"/>
          <w:szCs w:val="22"/>
        </w:rPr>
        <w:t xml:space="preserve"> </w:t>
      </w:r>
      <w:r w:rsidRPr="000F52CC">
        <w:rPr>
          <w:rFonts w:cstheme="minorHAnsi"/>
          <w:sz w:val="22"/>
          <w:szCs w:val="22"/>
        </w:rPr>
        <w:t xml:space="preserve">2018 Published online </w:t>
      </w:r>
      <w:hyperlink r:id="rId20">
        <w:r w:rsidRPr="000F52CC">
          <w:rPr>
            <w:rStyle w:val="Hyperlink"/>
            <w:rFonts w:cstheme="minorHAnsi"/>
            <w:sz w:val="22"/>
            <w:szCs w:val="22"/>
          </w:rPr>
          <w:t>https://doi.org/10.1080/19320248.2018.1434103</w:t>
        </w:r>
      </w:hyperlink>
    </w:p>
    <w:p w14:paraId="3D3EB65B" w14:textId="77777777" w:rsidR="000F52CC" w:rsidRPr="000F52CC" w:rsidRDefault="000F52CC" w:rsidP="000F52CC">
      <w:pPr>
        <w:rPr>
          <w:rFonts w:cstheme="minorHAnsi"/>
          <w:sz w:val="22"/>
          <w:szCs w:val="22"/>
        </w:rPr>
      </w:pPr>
    </w:p>
    <w:p w14:paraId="29E6A6E3" w14:textId="77777777" w:rsidR="000F52CC" w:rsidRPr="000F52CC" w:rsidRDefault="000F52CC" w:rsidP="000F52CC">
      <w:pPr>
        <w:rPr>
          <w:rFonts w:cstheme="minorHAnsi"/>
          <w:sz w:val="22"/>
          <w:szCs w:val="22"/>
        </w:rPr>
      </w:pPr>
      <w:r w:rsidRPr="000F52CC">
        <w:rPr>
          <w:rFonts w:cstheme="minorHAnsi"/>
          <w:sz w:val="22"/>
          <w:szCs w:val="22"/>
        </w:rPr>
        <w:t xml:space="preserve">Olfert MD, Barr ML, Riggsbee K, Kattelmann KK, Leischner K, Mathews AE, Vilaro M, Colby SE A Community Based Participatory Approach to Training Young Adults to Design and Implement a Social Marketing Framed Lifestyle Intervention on their College Campus. </w:t>
      </w:r>
      <w:r w:rsidRPr="000F52CC">
        <w:rPr>
          <w:rFonts w:cstheme="minorHAnsi"/>
          <w:i/>
          <w:sz w:val="22"/>
          <w:szCs w:val="22"/>
        </w:rPr>
        <w:t xml:space="preserve">JMIR </w:t>
      </w:r>
      <w:r w:rsidRPr="000F52CC">
        <w:rPr>
          <w:rFonts w:cstheme="minorHAnsi"/>
          <w:sz w:val="22"/>
          <w:szCs w:val="22"/>
        </w:rPr>
        <w:t>Preprints.</w:t>
      </w:r>
    </w:p>
    <w:p w14:paraId="109D268A" w14:textId="77777777" w:rsidR="000F52CC" w:rsidRPr="000F52CC" w:rsidRDefault="000F52CC" w:rsidP="000F52CC">
      <w:pPr>
        <w:rPr>
          <w:rFonts w:cstheme="minorHAnsi"/>
          <w:sz w:val="22"/>
          <w:szCs w:val="22"/>
        </w:rPr>
      </w:pPr>
      <w:r w:rsidRPr="000F52CC">
        <w:rPr>
          <w:rFonts w:cstheme="minorHAnsi"/>
          <w:sz w:val="22"/>
          <w:szCs w:val="22"/>
        </w:rPr>
        <w:t>26/10/2017:9281 DOI: 10.2196/preprints.9281</w:t>
      </w:r>
    </w:p>
    <w:p w14:paraId="77DC27F6" w14:textId="77777777" w:rsidR="000F52CC" w:rsidRPr="000F52CC" w:rsidRDefault="000F52CC" w:rsidP="000F52CC">
      <w:pPr>
        <w:rPr>
          <w:rFonts w:cstheme="minorHAnsi"/>
          <w:sz w:val="22"/>
          <w:szCs w:val="22"/>
        </w:rPr>
      </w:pPr>
      <w:proofErr w:type="spellStart"/>
      <w:r w:rsidRPr="000F52CC">
        <w:rPr>
          <w:rFonts w:cstheme="minorHAnsi"/>
          <w:sz w:val="22"/>
          <w:szCs w:val="22"/>
        </w:rPr>
        <w:t>Famodu</w:t>
      </w:r>
      <w:proofErr w:type="spellEnd"/>
      <w:r w:rsidRPr="000F52CC">
        <w:rPr>
          <w:rFonts w:cstheme="minorHAnsi"/>
          <w:sz w:val="22"/>
          <w:szCs w:val="22"/>
        </w:rPr>
        <w:t xml:space="preserve"> OA, Barr ML, </w:t>
      </w:r>
      <w:proofErr w:type="spellStart"/>
      <w:r w:rsidRPr="000F52CC">
        <w:rPr>
          <w:rFonts w:cstheme="minorHAnsi"/>
          <w:sz w:val="22"/>
          <w:szCs w:val="22"/>
        </w:rPr>
        <w:t>Holaskova</w:t>
      </w:r>
      <w:proofErr w:type="spellEnd"/>
      <w:r w:rsidRPr="000F52CC">
        <w:rPr>
          <w:rFonts w:cstheme="minorHAnsi"/>
          <w:sz w:val="22"/>
          <w:szCs w:val="22"/>
        </w:rPr>
        <w:t xml:space="preserve"> I, Zhou W, Morrell JS, Colby SE, Olfert MD. Shortening of the Pittsburgh Sleep Quality Index Survey using Factor Analysis. </w:t>
      </w:r>
      <w:r w:rsidRPr="000F52CC">
        <w:rPr>
          <w:rFonts w:cstheme="minorHAnsi"/>
          <w:i/>
          <w:sz w:val="22"/>
          <w:szCs w:val="22"/>
        </w:rPr>
        <w:t xml:space="preserve">Sleep Disorders </w:t>
      </w:r>
      <w:r w:rsidRPr="000F52CC">
        <w:rPr>
          <w:rFonts w:cstheme="minorHAnsi"/>
          <w:sz w:val="22"/>
          <w:szCs w:val="22"/>
        </w:rPr>
        <w:t>2018, In press.</w:t>
      </w:r>
    </w:p>
    <w:p w14:paraId="53F61289" w14:textId="77777777" w:rsidR="000F52CC" w:rsidRPr="000F52CC" w:rsidRDefault="000F52CC" w:rsidP="000F52CC">
      <w:pPr>
        <w:rPr>
          <w:rFonts w:cstheme="minorHAnsi"/>
          <w:sz w:val="22"/>
          <w:szCs w:val="22"/>
        </w:rPr>
      </w:pPr>
      <w:r w:rsidRPr="000F52CC">
        <w:rPr>
          <w:rFonts w:cstheme="minorHAnsi"/>
          <w:sz w:val="22"/>
          <w:szCs w:val="22"/>
        </w:rPr>
        <w:t xml:space="preserve">Horacek TM, Dede Yildirim E, Kattelmann K, Byrd-Bredbenner C, Brown O, Colby S, Greene G, Hoerr S, Kidd T, Koenings MM, Morrell J, Olfert MD, Phillips B, Shelnutt K, White A. Healthfulness of convenience stores mediated by college students’ meal intentions and energy from fat intake predicts their body mass index. </w:t>
      </w:r>
      <w:r w:rsidRPr="000F52CC">
        <w:rPr>
          <w:rFonts w:cstheme="minorHAnsi"/>
          <w:i/>
          <w:sz w:val="22"/>
          <w:szCs w:val="22"/>
        </w:rPr>
        <w:t xml:space="preserve">Appetite </w:t>
      </w:r>
      <w:r w:rsidRPr="000F52CC">
        <w:rPr>
          <w:rFonts w:cstheme="minorHAnsi"/>
          <w:sz w:val="22"/>
          <w:szCs w:val="22"/>
        </w:rPr>
        <w:t>2018, In review.</w:t>
      </w:r>
    </w:p>
    <w:p w14:paraId="2FDB96A7" w14:textId="77777777" w:rsidR="00C8280F" w:rsidRPr="009F02E0" w:rsidRDefault="00C8280F">
      <w:pPr>
        <w:rPr>
          <w:rFonts w:cstheme="minorHAnsi"/>
          <w:sz w:val="22"/>
          <w:szCs w:val="22"/>
        </w:rPr>
      </w:pPr>
    </w:p>
    <w:sectPr w:rsidR="00C8280F" w:rsidRPr="009F0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866"/>
    <w:multiLevelType w:val="multilevel"/>
    <w:tmpl w:val="C896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E7E27"/>
    <w:multiLevelType w:val="multilevel"/>
    <w:tmpl w:val="C11A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878CE"/>
    <w:multiLevelType w:val="multilevel"/>
    <w:tmpl w:val="9A60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7058E"/>
    <w:multiLevelType w:val="multilevel"/>
    <w:tmpl w:val="B06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61B37"/>
    <w:multiLevelType w:val="multilevel"/>
    <w:tmpl w:val="A5A6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064B7"/>
    <w:multiLevelType w:val="multilevel"/>
    <w:tmpl w:val="172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639CB"/>
    <w:multiLevelType w:val="multilevel"/>
    <w:tmpl w:val="D1EA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C345A"/>
    <w:multiLevelType w:val="multilevel"/>
    <w:tmpl w:val="421A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83F45"/>
    <w:multiLevelType w:val="hybridMultilevel"/>
    <w:tmpl w:val="F17EF94C"/>
    <w:lvl w:ilvl="0" w:tplc="97AC4508">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826AEAA">
      <w:numFmt w:val="bullet"/>
      <w:lvlText w:val="•"/>
      <w:lvlJc w:val="left"/>
      <w:pPr>
        <w:ind w:left="2340" w:hanging="360"/>
      </w:pPr>
      <w:rPr>
        <w:rFonts w:hint="default"/>
        <w:lang w:val="en-US" w:eastAsia="en-US" w:bidi="ar-SA"/>
      </w:rPr>
    </w:lvl>
    <w:lvl w:ilvl="2" w:tplc="43A69356">
      <w:numFmt w:val="bullet"/>
      <w:lvlText w:val="•"/>
      <w:lvlJc w:val="left"/>
      <w:pPr>
        <w:ind w:left="3240" w:hanging="360"/>
      </w:pPr>
      <w:rPr>
        <w:rFonts w:hint="default"/>
        <w:lang w:val="en-US" w:eastAsia="en-US" w:bidi="ar-SA"/>
      </w:rPr>
    </w:lvl>
    <w:lvl w:ilvl="3" w:tplc="EE7CA518">
      <w:numFmt w:val="bullet"/>
      <w:lvlText w:val="•"/>
      <w:lvlJc w:val="left"/>
      <w:pPr>
        <w:ind w:left="4140" w:hanging="360"/>
      </w:pPr>
      <w:rPr>
        <w:rFonts w:hint="default"/>
        <w:lang w:val="en-US" w:eastAsia="en-US" w:bidi="ar-SA"/>
      </w:rPr>
    </w:lvl>
    <w:lvl w:ilvl="4" w:tplc="2236C3DE">
      <w:numFmt w:val="bullet"/>
      <w:lvlText w:val="•"/>
      <w:lvlJc w:val="left"/>
      <w:pPr>
        <w:ind w:left="5040" w:hanging="360"/>
      </w:pPr>
      <w:rPr>
        <w:rFonts w:hint="default"/>
        <w:lang w:val="en-US" w:eastAsia="en-US" w:bidi="ar-SA"/>
      </w:rPr>
    </w:lvl>
    <w:lvl w:ilvl="5" w:tplc="B51095E2">
      <w:numFmt w:val="bullet"/>
      <w:lvlText w:val="•"/>
      <w:lvlJc w:val="left"/>
      <w:pPr>
        <w:ind w:left="5940" w:hanging="360"/>
      </w:pPr>
      <w:rPr>
        <w:rFonts w:hint="default"/>
        <w:lang w:val="en-US" w:eastAsia="en-US" w:bidi="ar-SA"/>
      </w:rPr>
    </w:lvl>
    <w:lvl w:ilvl="6" w:tplc="6D1C62E0">
      <w:numFmt w:val="bullet"/>
      <w:lvlText w:val="•"/>
      <w:lvlJc w:val="left"/>
      <w:pPr>
        <w:ind w:left="6840" w:hanging="360"/>
      </w:pPr>
      <w:rPr>
        <w:rFonts w:hint="default"/>
        <w:lang w:val="en-US" w:eastAsia="en-US" w:bidi="ar-SA"/>
      </w:rPr>
    </w:lvl>
    <w:lvl w:ilvl="7" w:tplc="BD200FBC">
      <w:numFmt w:val="bullet"/>
      <w:lvlText w:val="•"/>
      <w:lvlJc w:val="left"/>
      <w:pPr>
        <w:ind w:left="7740" w:hanging="360"/>
      </w:pPr>
      <w:rPr>
        <w:rFonts w:hint="default"/>
        <w:lang w:val="en-US" w:eastAsia="en-US" w:bidi="ar-SA"/>
      </w:rPr>
    </w:lvl>
    <w:lvl w:ilvl="8" w:tplc="F71CB01E">
      <w:numFmt w:val="bullet"/>
      <w:lvlText w:val="•"/>
      <w:lvlJc w:val="left"/>
      <w:pPr>
        <w:ind w:left="8640" w:hanging="360"/>
      </w:pPr>
      <w:rPr>
        <w:rFonts w:hint="default"/>
        <w:lang w:val="en-US" w:eastAsia="en-US" w:bidi="ar-SA"/>
      </w:rPr>
    </w:lvl>
  </w:abstractNum>
  <w:abstractNum w:abstractNumId="9" w15:restartNumberingAfterBreak="0">
    <w:nsid w:val="542F64BF"/>
    <w:multiLevelType w:val="multilevel"/>
    <w:tmpl w:val="849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41AB9"/>
    <w:multiLevelType w:val="multilevel"/>
    <w:tmpl w:val="D878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60B53"/>
    <w:multiLevelType w:val="hybridMultilevel"/>
    <w:tmpl w:val="33F6D07C"/>
    <w:lvl w:ilvl="0" w:tplc="D616AE9C">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44F182">
      <w:numFmt w:val="bullet"/>
      <w:lvlText w:val="•"/>
      <w:lvlJc w:val="left"/>
      <w:pPr>
        <w:ind w:left="2016" w:hanging="360"/>
      </w:pPr>
      <w:rPr>
        <w:rFonts w:hint="default"/>
        <w:lang w:val="en-US" w:eastAsia="en-US" w:bidi="ar-SA"/>
      </w:rPr>
    </w:lvl>
    <w:lvl w:ilvl="2" w:tplc="873EC49A">
      <w:numFmt w:val="bullet"/>
      <w:lvlText w:val="•"/>
      <w:lvlJc w:val="left"/>
      <w:pPr>
        <w:ind w:left="2952" w:hanging="360"/>
      </w:pPr>
      <w:rPr>
        <w:rFonts w:hint="default"/>
        <w:lang w:val="en-US" w:eastAsia="en-US" w:bidi="ar-SA"/>
      </w:rPr>
    </w:lvl>
    <w:lvl w:ilvl="3" w:tplc="E6EA60B8">
      <w:numFmt w:val="bullet"/>
      <w:lvlText w:val="•"/>
      <w:lvlJc w:val="left"/>
      <w:pPr>
        <w:ind w:left="3888" w:hanging="360"/>
      </w:pPr>
      <w:rPr>
        <w:rFonts w:hint="default"/>
        <w:lang w:val="en-US" w:eastAsia="en-US" w:bidi="ar-SA"/>
      </w:rPr>
    </w:lvl>
    <w:lvl w:ilvl="4" w:tplc="0D9A4160">
      <w:numFmt w:val="bullet"/>
      <w:lvlText w:val="•"/>
      <w:lvlJc w:val="left"/>
      <w:pPr>
        <w:ind w:left="4824" w:hanging="360"/>
      </w:pPr>
      <w:rPr>
        <w:rFonts w:hint="default"/>
        <w:lang w:val="en-US" w:eastAsia="en-US" w:bidi="ar-SA"/>
      </w:rPr>
    </w:lvl>
    <w:lvl w:ilvl="5" w:tplc="81B20FD8">
      <w:numFmt w:val="bullet"/>
      <w:lvlText w:val="•"/>
      <w:lvlJc w:val="left"/>
      <w:pPr>
        <w:ind w:left="5760" w:hanging="360"/>
      </w:pPr>
      <w:rPr>
        <w:rFonts w:hint="default"/>
        <w:lang w:val="en-US" w:eastAsia="en-US" w:bidi="ar-SA"/>
      </w:rPr>
    </w:lvl>
    <w:lvl w:ilvl="6" w:tplc="3E688F6C">
      <w:numFmt w:val="bullet"/>
      <w:lvlText w:val="•"/>
      <w:lvlJc w:val="left"/>
      <w:pPr>
        <w:ind w:left="6696" w:hanging="360"/>
      </w:pPr>
      <w:rPr>
        <w:rFonts w:hint="default"/>
        <w:lang w:val="en-US" w:eastAsia="en-US" w:bidi="ar-SA"/>
      </w:rPr>
    </w:lvl>
    <w:lvl w:ilvl="7" w:tplc="C8E6A57A">
      <w:numFmt w:val="bullet"/>
      <w:lvlText w:val="•"/>
      <w:lvlJc w:val="left"/>
      <w:pPr>
        <w:ind w:left="7632" w:hanging="360"/>
      </w:pPr>
      <w:rPr>
        <w:rFonts w:hint="default"/>
        <w:lang w:val="en-US" w:eastAsia="en-US" w:bidi="ar-SA"/>
      </w:rPr>
    </w:lvl>
    <w:lvl w:ilvl="8" w:tplc="DCDEB5E4">
      <w:numFmt w:val="bullet"/>
      <w:lvlText w:val="•"/>
      <w:lvlJc w:val="left"/>
      <w:pPr>
        <w:ind w:left="8568" w:hanging="360"/>
      </w:pPr>
      <w:rPr>
        <w:rFonts w:hint="default"/>
        <w:lang w:val="en-US" w:eastAsia="en-US" w:bidi="ar-SA"/>
      </w:rPr>
    </w:lvl>
  </w:abstractNum>
  <w:abstractNum w:abstractNumId="12" w15:restartNumberingAfterBreak="0">
    <w:nsid w:val="5F4648C6"/>
    <w:multiLevelType w:val="multilevel"/>
    <w:tmpl w:val="0F94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D2DB2"/>
    <w:multiLevelType w:val="multilevel"/>
    <w:tmpl w:val="8ED6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392573">
    <w:abstractNumId w:val="6"/>
  </w:num>
  <w:num w:numId="2" w16cid:durableId="217592266">
    <w:abstractNumId w:val="10"/>
  </w:num>
  <w:num w:numId="3" w16cid:durableId="1927886718">
    <w:abstractNumId w:val="9"/>
  </w:num>
  <w:num w:numId="4" w16cid:durableId="250164737">
    <w:abstractNumId w:val="5"/>
  </w:num>
  <w:num w:numId="5" w16cid:durableId="2089039477">
    <w:abstractNumId w:val="0"/>
  </w:num>
  <w:num w:numId="6" w16cid:durableId="1639336786">
    <w:abstractNumId w:val="3"/>
  </w:num>
  <w:num w:numId="7" w16cid:durableId="465243840">
    <w:abstractNumId w:val="12"/>
  </w:num>
  <w:num w:numId="8" w16cid:durableId="1619144487">
    <w:abstractNumId w:val="1"/>
  </w:num>
  <w:num w:numId="9" w16cid:durableId="1087070330">
    <w:abstractNumId w:val="4"/>
  </w:num>
  <w:num w:numId="10" w16cid:durableId="2055151401">
    <w:abstractNumId w:val="13"/>
  </w:num>
  <w:num w:numId="11" w16cid:durableId="1022974238">
    <w:abstractNumId w:val="2"/>
  </w:num>
  <w:num w:numId="12" w16cid:durableId="1038313808">
    <w:abstractNumId w:val="7"/>
  </w:num>
  <w:num w:numId="13" w16cid:durableId="1650327881">
    <w:abstractNumId w:val="8"/>
  </w:num>
  <w:num w:numId="14" w16cid:durableId="68231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E0"/>
    <w:rsid w:val="00000443"/>
    <w:rsid w:val="00000B1B"/>
    <w:rsid w:val="00013884"/>
    <w:rsid w:val="00017600"/>
    <w:rsid w:val="00020D31"/>
    <w:rsid w:val="00030CD7"/>
    <w:rsid w:val="000314BA"/>
    <w:rsid w:val="0003306B"/>
    <w:rsid w:val="00043933"/>
    <w:rsid w:val="000455DE"/>
    <w:rsid w:val="00070E6D"/>
    <w:rsid w:val="00076947"/>
    <w:rsid w:val="00077761"/>
    <w:rsid w:val="0008642E"/>
    <w:rsid w:val="00092D02"/>
    <w:rsid w:val="00094E1C"/>
    <w:rsid w:val="000A52E4"/>
    <w:rsid w:val="000A67C1"/>
    <w:rsid w:val="000B77ED"/>
    <w:rsid w:val="000D0163"/>
    <w:rsid w:val="000F52CC"/>
    <w:rsid w:val="000F6E67"/>
    <w:rsid w:val="00121948"/>
    <w:rsid w:val="00125089"/>
    <w:rsid w:val="00127A99"/>
    <w:rsid w:val="00154EE0"/>
    <w:rsid w:val="00172EE3"/>
    <w:rsid w:val="001867FC"/>
    <w:rsid w:val="00193B4D"/>
    <w:rsid w:val="00194FE8"/>
    <w:rsid w:val="001B1AC1"/>
    <w:rsid w:val="001C0BB4"/>
    <w:rsid w:val="001C229A"/>
    <w:rsid w:val="001D3A9C"/>
    <w:rsid w:val="001F0926"/>
    <w:rsid w:val="001F6522"/>
    <w:rsid w:val="00201586"/>
    <w:rsid w:val="002060E8"/>
    <w:rsid w:val="0022235A"/>
    <w:rsid w:val="002311A3"/>
    <w:rsid w:val="002339BA"/>
    <w:rsid w:val="00234A74"/>
    <w:rsid w:val="00236F93"/>
    <w:rsid w:val="0023716F"/>
    <w:rsid w:val="00245CBC"/>
    <w:rsid w:val="00247284"/>
    <w:rsid w:val="00284360"/>
    <w:rsid w:val="002A0A6A"/>
    <w:rsid w:val="002B46B8"/>
    <w:rsid w:val="002C4959"/>
    <w:rsid w:val="002D6DFD"/>
    <w:rsid w:val="002F3FA5"/>
    <w:rsid w:val="00304703"/>
    <w:rsid w:val="00304B6B"/>
    <w:rsid w:val="003366FA"/>
    <w:rsid w:val="00356C96"/>
    <w:rsid w:val="00371EE3"/>
    <w:rsid w:val="00374377"/>
    <w:rsid w:val="003752D7"/>
    <w:rsid w:val="003C2D9D"/>
    <w:rsid w:val="003C52C3"/>
    <w:rsid w:val="003C64E5"/>
    <w:rsid w:val="003C68FC"/>
    <w:rsid w:val="003D07A5"/>
    <w:rsid w:val="003D082A"/>
    <w:rsid w:val="003D6F24"/>
    <w:rsid w:val="004019A5"/>
    <w:rsid w:val="0040459E"/>
    <w:rsid w:val="0040546C"/>
    <w:rsid w:val="00426486"/>
    <w:rsid w:val="004370AC"/>
    <w:rsid w:val="00444829"/>
    <w:rsid w:val="004627BB"/>
    <w:rsid w:val="004659C9"/>
    <w:rsid w:val="004C092E"/>
    <w:rsid w:val="004D7ED9"/>
    <w:rsid w:val="004E1CAE"/>
    <w:rsid w:val="004E237A"/>
    <w:rsid w:val="004F5CE8"/>
    <w:rsid w:val="0050277D"/>
    <w:rsid w:val="00504323"/>
    <w:rsid w:val="00524512"/>
    <w:rsid w:val="00526F2C"/>
    <w:rsid w:val="005337EE"/>
    <w:rsid w:val="00534ACD"/>
    <w:rsid w:val="00537084"/>
    <w:rsid w:val="005619D2"/>
    <w:rsid w:val="005622CC"/>
    <w:rsid w:val="005657CF"/>
    <w:rsid w:val="00577B01"/>
    <w:rsid w:val="00583297"/>
    <w:rsid w:val="0058678E"/>
    <w:rsid w:val="005917B8"/>
    <w:rsid w:val="005D0D12"/>
    <w:rsid w:val="005D60CD"/>
    <w:rsid w:val="005F1240"/>
    <w:rsid w:val="00605CB8"/>
    <w:rsid w:val="00624C4F"/>
    <w:rsid w:val="00646E02"/>
    <w:rsid w:val="00661337"/>
    <w:rsid w:val="006614BC"/>
    <w:rsid w:val="00661B8F"/>
    <w:rsid w:val="006C5F90"/>
    <w:rsid w:val="006D643E"/>
    <w:rsid w:val="006E653A"/>
    <w:rsid w:val="00706520"/>
    <w:rsid w:val="0070749A"/>
    <w:rsid w:val="007115C4"/>
    <w:rsid w:val="00744A63"/>
    <w:rsid w:val="00771AE7"/>
    <w:rsid w:val="00777A6C"/>
    <w:rsid w:val="0078200C"/>
    <w:rsid w:val="0079542F"/>
    <w:rsid w:val="007B00B2"/>
    <w:rsid w:val="007B699F"/>
    <w:rsid w:val="007F1570"/>
    <w:rsid w:val="0080335E"/>
    <w:rsid w:val="00803DEA"/>
    <w:rsid w:val="00814D38"/>
    <w:rsid w:val="00821E07"/>
    <w:rsid w:val="00831284"/>
    <w:rsid w:val="00836AC3"/>
    <w:rsid w:val="00861559"/>
    <w:rsid w:val="00866ACB"/>
    <w:rsid w:val="00870C05"/>
    <w:rsid w:val="008A1D0A"/>
    <w:rsid w:val="008A2696"/>
    <w:rsid w:val="008B13F3"/>
    <w:rsid w:val="008D3286"/>
    <w:rsid w:val="008D6B7E"/>
    <w:rsid w:val="008E47EF"/>
    <w:rsid w:val="008F0860"/>
    <w:rsid w:val="00903D15"/>
    <w:rsid w:val="009430D8"/>
    <w:rsid w:val="0096095E"/>
    <w:rsid w:val="009673D7"/>
    <w:rsid w:val="00980F18"/>
    <w:rsid w:val="00982D53"/>
    <w:rsid w:val="00987B1A"/>
    <w:rsid w:val="009B34D8"/>
    <w:rsid w:val="009D26B7"/>
    <w:rsid w:val="009F02E0"/>
    <w:rsid w:val="00A32273"/>
    <w:rsid w:val="00A35914"/>
    <w:rsid w:val="00A359CC"/>
    <w:rsid w:val="00A36983"/>
    <w:rsid w:val="00A37325"/>
    <w:rsid w:val="00A66CF6"/>
    <w:rsid w:val="00A71770"/>
    <w:rsid w:val="00A96FBD"/>
    <w:rsid w:val="00AD0DF2"/>
    <w:rsid w:val="00AD3F04"/>
    <w:rsid w:val="00AF40D7"/>
    <w:rsid w:val="00B028E5"/>
    <w:rsid w:val="00B079E3"/>
    <w:rsid w:val="00B13467"/>
    <w:rsid w:val="00B26138"/>
    <w:rsid w:val="00B41B09"/>
    <w:rsid w:val="00B50FBB"/>
    <w:rsid w:val="00B52B9F"/>
    <w:rsid w:val="00B56877"/>
    <w:rsid w:val="00B70C47"/>
    <w:rsid w:val="00B80310"/>
    <w:rsid w:val="00BA30DD"/>
    <w:rsid w:val="00BB07B3"/>
    <w:rsid w:val="00BC534B"/>
    <w:rsid w:val="00BD0BCD"/>
    <w:rsid w:val="00BD16D9"/>
    <w:rsid w:val="00C15F33"/>
    <w:rsid w:val="00C163BE"/>
    <w:rsid w:val="00C33059"/>
    <w:rsid w:val="00C379AF"/>
    <w:rsid w:val="00C445CE"/>
    <w:rsid w:val="00C56F68"/>
    <w:rsid w:val="00C65EEA"/>
    <w:rsid w:val="00C715E8"/>
    <w:rsid w:val="00C72B1E"/>
    <w:rsid w:val="00C8280F"/>
    <w:rsid w:val="00C85BA0"/>
    <w:rsid w:val="00C90F9A"/>
    <w:rsid w:val="00C93C53"/>
    <w:rsid w:val="00CB7A27"/>
    <w:rsid w:val="00CD30C5"/>
    <w:rsid w:val="00CD5137"/>
    <w:rsid w:val="00CE6C5F"/>
    <w:rsid w:val="00D2478C"/>
    <w:rsid w:val="00D51356"/>
    <w:rsid w:val="00D52066"/>
    <w:rsid w:val="00D97EF9"/>
    <w:rsid w:val="00DB4553"/>
    <w:rsid w:val="00DD4804"/>
    <w:rsid w:val="00DE19E5"/>
    <w:rsid w:val="00DF4633"/>
    <w:rsid w:val="00E22604"/>
    <w:rsid w:val="00E25735"/>
    <w:rsid w:val="00E26965"/>
    <w:rsid w:val="00E32C93"/>
    <w:rsid w:val="00E34CDD"/>
    <w:rsid w:val="00E3536E"/>
    <w:rsid w:val="00E60E63"/>
    <w:rsid w:val="00E66256"/>
    <w:rsid w:val="00E85F89"/>
    <w:rsid w:val="00E90050"/>
    <w:rsid w:val="00EB60A5"/>
    <w:rsid w:val="00EC75B2"/>
    <w:rsid w:val="00ED0555"/>
    <w:rsid w:val="00ED250B"/>
    <w:rsid w:val="00EE0097"/>
    <w:rsid w:val="00F17108"/>
    <w:rsid w:val="00F17170"/>
    <w:rsid w:val="00F21809"/>
    <w:rsid w:val="00F24750"/>
    <w:rsid w:val="00F3248C"/>
    <w:rsid w:val="00F47268"/>
    <w:rsid w:val="00F57BF4"/>
    <w:rsid w:val="00F63FE0"/>
    <w:rsid w:val="00F721F8"/>
    <w:rsid w:val="00F8724F"/>
    <w:rsid w:val="00FA1407"/>
    <w:rsid w:val="00FA3376"/>
    <w:rsid w:val="00FB2439"/>
    <w:rsid w:val="00FC1B0E"/>
    <w:rsid w:val="00FC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6920"/>
  <w15:chartTrackingRefBased/>
  <w15:docId w15:val="{3E29EED3-1AB2-4A1E-A914-522E0835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2E"/>
    <w:pPr>
      <w:spacing w:after="0" w:line="240" w:lineRule="auto"/>
    </w:pPr>
    <w:rPr>
      <w:rFonts w:eastAsiaTheme="minorEastAsia"/>
      <w:sz w:val="24"/>
      <w:szCs w:val="24"/>
    </w:rPr>
  </w:style>
  <w:style w:type="paragraph" w:styleId="Heading1">
    <w:name w:val="heading 1"/>
    <w:basedOn w:val="Normal"/>
    <w:next w:val="Normal"/>
    <w:link w:val="Heading1Char"/>
    <w:uiPriority w:val="1"/>
    <w:qFormat/>
    <w:rsid w:val="004C09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1"/>
    <w:unhideWhenUsed/>
    <w:qFormat/>
    <w:rsid w:val="004C092E"/>
    <w:pPr>
      <w:keepNext/>
      <w:keepLines/>
      <w:spacing w:before="200"/>
      <w:outlineLvl w:val="1"/>
    </w:pPr>
    <w:rPr>
      <w:rFonts w:asciiTheme="majorHAnsi" w:eastAsiaTheme="majorEastAsia" w:hAnsiTheme="majorHAnsi" w:cstheme="majorBidi"/>
      <w:b/>
      <w:bCs/>
      <w:color w:val="4472C4" w:themeColor="accent1"/>
      <w:u w:val="single"/>
    </w:rPr>
  </w:style>
  <w:style w:type="paragraph" w:styleId="Heading3">
    <w:name w:val="heading 3"/>
    <w:basedOn w:val="Normal"/>
    <w:next w:val="Normal"/>
    <w:link w:val="Heading3Char"/>
    <w:uiPriority w:val="9"/>
    <w:unhideWhenUsed/>
    <w:qFormat/>
    <w:rsid w:val="004C092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C092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C092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02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2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2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2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092E"/>
    <w:rPr>
      <w:rFonts w:asciiTheme="majorHAnsi" w:eastAsiaTheme="majorEastAsia" w:hAnsiTheme="majorHAnsi" w:cstheme="majorBidi"/>
      <w:b/>
      <w:bCs/>
      <w:color w:val="2F5496" w:themeColor="accent1" w:themeShade="BF"/>
      <w:sz w:val="28"/>
      <w:szCs w:val="28"/>
    </w:rPr>
  </w:style>
  <w:style w:type="paragraph" w:styleId="Title">
    <w:name w:val="Title"/>
    <w:basedOn w:val="Heading1"/>
    <w:next w:val="Normal"/>
    <w:link w:val="TitleChar"/>
    <w:uiPriority w:val="10"/>
    <w:qFormat/>
    <w:rsid w:val="004C092E"/>
    <w:rPr>
      <w:sz w:val="44"/>
      <w:szCs w:val="44"/>
    </w:rPr>
  </w:style>
  <w:style w:type="character" w:customStyle="1" w:styleId="TitleChar">
    <w:name w:val="Title Char"/>
    <w:basedOn w:val="DefaultParagraphFont"/>
    <w:link w:val="Title"/>
    <w:uiPriority w:val="10"/>
    <w:rsid w:val="004C092E"/>
    <w:rPr>
      <w:rFonts w:asciiTheme="majorHAnsi" w:eastAsiaTheme="majorEastAsia" w:hAnsiTheme="majorHAnsi" w:cstheme="majorBidi"/>
      <w:b/>
      <w:bCs/>
      <w:color w:val="2F5496" w:themeColor="accent1" w:themeShade="BF"/>
      <w:sz w:val="44"/>
      <w:szCs w:val="44"/>
    </w:rPr>
  </w:style>
  <w:style w:type="paragraph" w:styleId="BodyText">
    <w:name w:val="Body Text"/>
    <w:basedOn w:val="Heading2"/>
    <w:link w:val="BodyTextChar"/>
    <w:uiPriority w:val="1"/>
    <w:qFormat/>
    <w:rsid w:val="004C092E"/>
    <w:rPr>
      <w:b w:val="0"/>
      <w:color w:val="auto"/>
      <w:sz w:val="22"/>
      <w:szCs w:val="22"/>
      <w:u w:val="none"/>
    </w:rPr>
  </w:style>
  <w:style w:type="character" w:customStyle="1" w:styleId="BodyTextChar">
    <w:name w:val="Body Text Char"/>
    <w:basedOn w:val="DefaultParagraphFont"/>
    <w:link w:val="BodyText"/>
    <w:uiPriority w:val="1"/>
    <w:rsid w:val="004C092E"/>
    <w:rPr>
      <w:rFonts w:asciiTheme="majorHAnsi" w:eastAsiaTheme="majorEastAsia" w:hAnsiTheme="majorHAnsi" w:cstheme="majorBidi"/>
      <w:bCs/>
    </w:rPr>
  </w:style>
  <w:style w:type="paragraph" w:styleId="Subtitle">
    <w:name w:val="Subtitle"/>
    <w:basedOn w:val="Normal"/>
    <w:next w:val="Normal"/>
    <w:link w:val="SubtitleChar"/>
    <w:uiPriority w:val="11"/>
    <w:qFormat/>
    <w:rsid w:val="004C092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4C092E"/>
    <w:rPr>
      <w:rFonts w:eastAsiaTheme="minorEastAsia"/>
      <w:color w:val="5A5A5A" w:themeColor="text1" w:themeTint="A5"/>
      <w:spacing w:val="15"/>
    </w:rPr>
  </w:style>
  <w:style w:type="character" w:styleId="Strong">
    <w:name w:val="Strong"/>
    <w:basedOn w:val="DefaultParagraphFont"/>
    <w:uiPriority w:val="22"/>
    <w:qFormat/>
    <w:rsid w:val="004C092E"/>
    <w:rPr>
      <w:b/>
      <w:bCs/>
    </w:rPr>
  </w:style>
  <w:style w:type="paragraph" w:styleId="ListParagraph">
    <w:name w:val="List Paragraph"/>
    <w:basedOn w:val="Normal"/>
    <w:uiPriority w:val="34"/>
    <w:qFormat/>
    <w:rsid w:val="004C092E"/>
    <w:pPr>
      <w:ind w:left="720"/>
      <w:contextualSpacing/>
    </w:pPr>
  </w:style>
  <w:style w:type="character" w:customStyle="1" w:styleId="Heading2Char">
    <w:name w:val="Heading 2 Char"/>
    <w:basedOn w:val="DefaultParagraphFont"/>
    <w:link w:val="Heading2"/>
    <w:uiPriority w:val="1"/>
    <w:rsid w:val="004C092E"/>
    <w:rPr>
      <w:rFonts w:asciiTheme="majorHAnsi" w:eastAsiaTheme="majorEastAsia" w:hAnsiTheme="majorHAnsi" w:cstheme="majorBidi"/>
      <w:b/>
      <w:bCs/>
      <w:color w:val="4472C4" w:themeColor="accent1"/>
      <w:sz w:val="24"/>
      <w:szCs w:val="24"/>
      <w:u w:val="single"/>
    </w:rPr>
  </w:style>
  <w:style w:type="character" w:customStyle="1" w:styleId="Heading3Char">
    <w:name w:val="Heading 3 Char"/>
    <w:basedOn w:val="DefaultParagraphFont"/>
    <w:link w:val="Heading3"/>
    <w:uiPriority w:val="9"/>
    <w:rsid w:val="004C09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C092E"/>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4C092E"/>
    <w:rPr>
      <w:rFonts w:asciiTheme="majorHAnsi" w:eastAsiaTheme="majorEastAsia" w:hAnsiTheme="majorHAnsi" w:cstheme="majorBidi"/>
      <w:color w:val="2F5496" w:themeColor="accent1" w:themeShade="BF"/>
      <w:sz w:val="24"/>
      <w:szCs w:val="24"/>
    </w:rPr>
  </w:style>
  <w:style w:type="paragraph" w:styleId="NoSpacing">
    <w:name w:val="No Spacing"/>
    <w:uiPriority w:val="1"/>
    <w:qFormat/>
    <w:rsid w:val="004C092E"/>
    <w:pPr>
      <w:spacing w:after="0" w:line="240" w:lineRule="auto"/>
    </w:pPr>
    <w:rPr>
      <w:rFonts w:eastAsiaTheme="minorEastAsia"/>
    </w:rPr>
  </w:style>
  <w:style w:type="character" w:customStyle="1" w:styleId="Heading6Char">
    <w:name w:val="Heading 6 Char"/>
    <w:basedOn w:val="DefaultParagraphFont"/>
    <w:link w:val="Heading6"/>
    <w:uiPriority w:val="9"/>
    <w:semiHidden/>
    <w:rsid w:val="009F02E0"/>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F02E0"/>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F02E0"/>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F02E0"/>
    <w:rPr>
      <w:rFonts w:eastAsiaTheme="majorEastAsia" w:cstheme="majorBidi"/>
      <w:color w:val="272727" w:themeColor="text1" w:themeTint="D8"/>
      <w:sz w:val="24"/>
      <w:szCs w:val="24"/>
    </w:rPr>
  </w:style>
  <w:style w:type="paragraph" w:styleId="Quote">
    <w:name w:val="Quote"/>
    <w:basedOn w:val="Normal"/>
    <w:next w:val="Normal"/>
    <w:link w:val="QuoteChar"/>
    <w:uiPriority w:val="29"/>
    <w:qFormat/>
    <w:rsid w:val="009F02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02E0"/>
    <w:rPr>
      <w:rFonts w:eastAsiaTheme="minorEastAsia"/>
      <w:i/>
      <w:iCs/>
      <w:color w:val="404040" w:themeColor="text1" w:themeTint="BF"/>
      <w:sz w:val="24"/>
      <w:szCs w:val="24"/>
    </w:rPr>
  </w:style>
  <w:style w:type="character" w:styleId="IntenseEmphasis">
    <w:name w:val="Intense Emphasis"/>
    <w:basedOn w:val="DefaultParagraphFont"/>
    <w:uiPriority w:val="21"/>
    <w:qFormat/>
    <w:rsid w:val="009F02E0"/>
    <w:rPr>
      <w:i/>
      <w:iCs/>
      <w:color w:val="2F5496" w:themeColor="accent1" w:themeShade="BF"/>
    </w:rPr>
  </w:style>
  <w:style w:type="paragraph" w:styleId="IntenseQuote">
    <w:name w:val="Intense Quote"/>
    <w:basedOn w:val="Normal"/>
    <w:next w:val="Normal"/>
    <w:link w:val="IntenseQuoteChar"/>
    <w:uiPriority w:val="30"/>
    <w:qFormat/>
    <w:rsid w:val="009F0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02E0"/>
    <w:rPr>
      <w:rFonts w:eastAsiaTheme="minorEastAsia"/>
      <w:i/>
      <w:iCs/>
      <w:color w:val="2F5496" w:themeColor="accent1" w:themeShade="BF"/>
      <w:sz w:val="24"/>
      <w:szCs w:val="24"/>
    </w:rPr>
  </w:style>
  <w:style w:type="character" w:styleId="IntenseReference">
    <w:name w:val="Intense Reference"/>
    <w:basedOn w:val="DefaultParagraphFont"/>
    <w:uiPriority w:val="32"/>
    <w:qFormat/>
    <w:rsid w:val="009F02E0"/>
    <w:rPr>
      <w:b/>
      <w:bCs/>
      <w:smallCaps/>
      <w:color w:val="2F5496" w:themeColor="accent1" w:themeShade="BF"/>
      <w:spacing w:val="5"/>
    </w:rPr>
  </w:style>
  <w:style w:type="character" w:styleId="Hyperlink">
    <w:name w:val="Hyperlink"/>
    <w:basedOn w:val="DefaultParagraphFont"/>
    <w:uiPriority w:val="99"/>
    <w:unhideWhenUsed/>
    <w:rsid w:val="000F52CC"/>
    <w:rPr>
      <w:color w:val="0563C1" w:themeColor="hyperlink"/>
      <w:u w:val="single"/>
    </w:rPr>
  </w:style>
  <w:style w:type="character" w:styleId="UnresolvedMention">
    <w:name w:val="Unresolved Mention"/>
    <w:basedOn w:val="DefaultParagraphFont"/>
    <w:uiPriority w:val="99"/>
    <w:semiHidden/>
    <w:unhideWhenUsed/>
    <w:rsid w:val="000F5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franzen2@unl.edu" TargetMode="External"/><Relationship Id="rId13" Type="http://schemas.openxmlformats.org/officeDocument/2006/relationships/hyperlink" Target="mailto:(jesse.morrell@unh.edu" TargetMode="External"/><Relationship Id="rId18" Type="http://schemas.openxmlformats.org/officeDocument/2006/relationships/hyperlink" Target="https://doi.org/10.1177/016327871773587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colby1@utk.edu" TargetMode="External"/><Relationship Id="rId12" Type="http://schemas.openxmlformats.org/officeDocument/2006/relationships/hyperlink" Target="mailto:(martan@ksu.edu" TargetMode="External"/><Relationship Id="rId17" Type="http://schemas.openxmlformats.org/officeDocument/2006/relationships/hyperlink" Target="https://doi.org/10.5993/AJHB.41.6.4" TargetMode="External"/><Relationship Id="rId2" Type="http://schemas.openxmlformats.org/officeDocument/2006/relationships/styles" Target="styles.xml"/><Relationship Id="rId16" Type="http://schemas.openxmlformats.org/officeDocument/2006/relationships/hyperlink" Target="mailto:(kpagan@ufl.edu" TargetMode="External"/><Relationship Id="rId20" Type="http://schemas.openxmlformats.org/officeDocument/2006/relationships/hyperlink" Target="https://doi.org/10.1080/19320248.2018.1434103" TargetMode="External"/><Relationship Id="rId1" Type="http://schemas.openxmlformats.org/officeDocument/2006/relationships/numbering" Target="numbering.xml"/><Relationship Id="rId6" Type="http://schemas.openxmlformats.org/officeDocument/2006/relationships/hyperlink" Target="mailto:(bredbenner@aesop.rutgers.edu" TargetMode="External"/><Relationship Id="rId11" Type="http://schemas.openxmlformats.org/officeDocument/2006/relationships/hyperlink" Target="mailto:(kendra.kattelmann@sdstate.edu" TargetMode="External"/><Relationship Id="rId5" Type="http://schemas.openxmlformats.org/officeDocument/2006/relationships/hyperlink" Target="mailto:(onb0001@auburn.edu" TargetMode="External"/><Relationship Id="rId15" Type="http://schemas.openxmlformats.org/officeDocument/2006/relationships/hyperlink" Target="mailto:(melissa.olfert@mail.wvu.edu" TargetMode="External"/><Relationship Id="rId10" Type="http://schemas.openxmlformats.org/officeDocument/2006/relationships/hyperlink" Target="mailto:(thoracek@syr.edu" TargetMode="External"/><Relationship Id="rId19" Type="http://schemas.openxmlformats.org/officeDocument/2006/relationships/hyperlink" Target="https://doi.org/10.5993/AJHB.41.4.2" TargetMode="External"/><Relationship Id="rId4" Type="http://schemas.openxmlformats.org/officeDocument/2006/relationships/webSettings" Target="webSettings.xml"/><Relationship Id="rId9" Type="http://schemas.openxmlformats.org/officeDocument/2006/relationships/hyperlink" Target="mailto:(gwg@uri.edu" TargetMode="External"/><Relationship Id="rId14" Type="http://schemas.openxmlformats.org/officeDocument/2006/relationships/hyperlink" Target="mailto:(terezie.mosby@msstate.edu" TargetMode="External"/><Relationship Id="rId22" Type="http://schemas.openxmlformats.org/officeDocument/2006/relationships/theme" Target="theme/theme1.xml"/></Relationships>
</file>

<file path=word/theme/theme1.xml><?xml version="1.0" encoding="utf-8"?>
<a:theme xmlns:a="http://schemas.openxmlformats.org/drawingml/2006/main" name="ChryssThe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hryssTheme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1885</Words>
  <Characters>11804</Characters>
  <Application>Microsoft Office Word</Application>
  <DocSecurity>0</DocSecurity>
  <Lines>200</Lines>
  <Paragraphs>74</Paragraphs>
  <ScaleCrop>false</ScaleCrop>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Hamilton</dc:creator>
  <cp:keywords/>
  <dc:description/>
  <cp:lastModifiedBy>Christina Hamilton</cp:lastModifiedBy>
  <cp:revision>4</cp:revision>
  <dcterms:created xsi:type="dcterms:W3CDTF">2026-05-12T16:14:00Z</dcterms:created>
  <dcterms:modified xsi:type="dcterms:W3CDTF">2026-05-12T16:24:00Z</dcterms:modified>
</cp:coreProperties>
</file>